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3BB" w:rsidRDefault="00A063BB" w:rsidP="00FB0187">
      <w:pPr>
        <w:spacing w:after="0"/>
        <w:rPr>
          <w:rFonts w:ascii="Times New Roman" w:hAnsi="Times New Roman"/>
          <w:sz w:val="24"/>
          <w:szCs w:val="24"/>
        </w:rPr>
      </w:pPr>
      <w:r>
        <w:rPr>
          <w:rFonts w:ascii="Times New Roman" w:hAnsi="Times New Roman"/>
          <w:sz w:val="24"/>
          <w:szCs w:val="24"/>
        </w:rPr>
        <w:t>June 28, 2012</w:t>
      </w:r>
      <w:r>
        <w:rPr>
          <w:rFonts w:ascii="Times New Roman" w:hAnsi="Times New Roman"/>
          <w:sz w:val="24"/>
          <w:szCs w:val="24"/>
        </w:rPr>
        <w:tab/>
      </w:r>
    </w:p>
    <w:p w:rsidR="00A063BB" w:rsidRPr="002E1CA1" w:rsidRDefault="00A063BB" w:rsidP="002E1CA1">
      <w:pPr>
        <w:spacing w:after="0"/>
        <w:rPr>
          <w:rFonts w:ascii="Times New Roman" w:hAnsi="Times New Roman"/>
          <w:b/>
          <w:sz w:val="28"/>
          <w:szCs w:val="28"/>
        </w:rPr>
      </w:pPr>
      <w:r>
        <w:rPr>
          <w:rFonts w:ascii="Times New Roman" w:hAnsi="Times New Roman"/>
          <w:b/>
          <w:sz w:val="28"/>
          <w:szCs w:val="28"/>
        </w:rPr>
        <w:t>The Walton, Broad, Arnold &amp; Robertson F</w:t>
      </w:r>
      <w:r w:rsidRPr="002E1CA1">
        <w:rPr>
          <w:rFonts w:ascii="Times New Roman" w:hAnsi="Times New Roman"/>
          <w:b/>
          <w:sz w:val="28"/>
          <w:szCs w:val="28"/>
        </w:rPr>
        <w:t>oundations invested $64.5 million over three years in Michelle Rhee’</w:t>
      </w:r>
      <w:r>
        <w:rPr>
          <w:rFonts w:ascii="Times New Roman" w:hAnsi="Times New Roman"/>
          <w:b/>
          <w:sz w:val="28"/>
          <w:szCs w:val="28"/>
        </w:rPr>
        <w:t>s prediction</w:t>
      </w:r>
      <w:r w:rsidRPr="002E1CA1">
        <w:rPr>
          <w:rFonts w:ascii="Times New Roman" w:hAnsi="Times New Roman"/>
          <w:b/>
          <w:sz w:val="28"/>
          <w:szCs w:val="28"/>
        </w:rPr>
        <w:t xml:space="preserve"> of DC students test score gains.  Students’ scores did not improve</w:t>
      </w:r>
      <w:r>
        <w:rPr>
          <w:rFonts w:ascii="Times New Roman" w:hAnsi="Times New Roman"/>
          <w:b/>
          <w:sz w:val="28"/>
          <w:szCs w:val="28"/>
        </w:rPr>
        <w:t xml:space="preserve"> as predicted</w:t>
      </w:r>
      <w:r w:rsidRPr="002E1CA1">
        <w:rPr>
          <w:rFonts w:ascii="Times New Roman" w:hAnsi="Times New Roman"/>
          <w:b/>
          <w:sz w:val="28"/>
          <w:szCs w:val="28"/>
        </w:rPr>
        <w:t>, but the foundations</w:t>
      </w:r>
      <w:r>
        <w:rPr>
          <w:rFonts w:ascii="Times New Roman" w:hAnsi="Times New Roman"/>
          <w:b/>
          <w:sz w:val="28"/>
          <w:szCs w:val="28"/>
        </w:rPr>
        <w:t>’</w:t>
      </w:r>
      <w:r w:rsidRPr="002E1CA1">
        <w:rPr>
          <w:rFonts w:ascii="Times New Roman" w:hAnsi="Times New Roman"/>
          <w:b/>
          <w:sz w:val="28"/>
          <w:szCs w:val="28"/>
        </w:rPr>
        <w:t xml:space="preserve"> </w:t>
      </w:r>
      <w:r>
        <w:rPr>
          <w:rFonts w:ascii="Times New Roman" w:hAnsi="Times New Roman"/>
          <w:b/>
          <w:sz w:val="28"/>
          <w:szCs w:val="28"/>
        </w:rPr>
        <w:t xml:space="preserve">grants </w:t>
      </w:r>
      <w:r w:rsidRPr="002E1CA1">
        <w:rPr>
          <w:rFonts w:ascii="Times New Roman" w:hAnsi="Times New Roman"/>
          <w:b/>
          <w:sz w:val="28"/>
          <w:szCs w:val="28"/>
        </w:rPr>
        <w:t>c</w:t>
      </w:r>
      <w:r>
        <w:rPr>
          <w:rFonts w:ascii="Times New Roman" w:hAnsi="Times New Roman"/>
          <w:b/>
          <w:sz w:val="28"/>
          <w:szCs w:val="28"/>
        </w:rPr>
        <w:t>ontinued.</w:t>
      </w:r>
    </w:p>
    <w:p w:rsidR="00A063BB" w:rsidRDefault="00A063BB" w:rsidP="003923C2">
      <w:pPr>
        <w:spacing w:after="0"/>
        <w:ind w:firstLine="360"/>
        <w:rPr>
          <w:rFonts w:ascii="Times New Roman" w:hAnsi="Times New Roman"/>
          <w:sz w:val="24"/>
          <w:szCs w:val="24"/>
        </w:rPr>
      </w:pPr>
      <w:r>
        <w:rPr>
          <w:rFonts w:ascii="Times New Roman" w:hAnsi="Times New Roman"/>
          <w:sz w:val="24"/>
          <w:szCs w:val="24"/>
        </w:rPr>
        <w:t>By Erich Martel</w:t>
      </w:r>
    </w:p>
    <w:p w:rsidR="00A063BB" w:rsidRDefault="00A063BB" w:rsidP="003923C2">
      <w:pPr>
        <w:spacing w:after="0"/>
        <w:ind w:firstLine="360"/>
        <w:rPr>
          <w:rFonts w:ascii="Times New Roman" w:hAnsi="Times New Roman"/>
          <w:sz w:val="24"/>
          <w:szCs w:val="24"/>
        </w:rPr>
      </w:pPr>
      <w:r>
        <w:rPr>
          <w:rFonts w:ascii="Times New Roman" w:hAnsi="Times New Roman"/>
          <w:sz w:val="24"/>
          <w:szCs w:val="24"/>
        </w:rPr>
        <w:t xml:space="preserve">Retired </w:t>
      </w:r>
      <w:smartTag w:uri="urn:schemas-microsoft-com:office:smarttags" w:element="place">
        <w:smartTag w:uri="urn:schemas-microsoft-com:office:smarttags" w:element="City">
          <w:r>
            <w:rPr>
              <w:rFonts w:ascii="Times New Roman" w:hAnsi="Times New Roman"/>
              <w:sz w:val="24"/>
              <w:szCs w:val="24"/>
            </w:rPr>
            <w:t>Washington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DC</w:t>
          </w:r>
        </w:smartTag>
      </w:smartTag>
      <w:r>
        <w:rPr>
          <w:rFonts w:ascii="Times New Roman" w:hAnsi="Times New Roman"/>
          <w:sz w:val="24"/>
          <w:szCs w:val="24"/>
        </w:rPr>
        <w:t xml:space="preserve"> High School Teacher</w:t>
      </w:r>
      <w:r>
        <w:rPr>
          <w:rFonts w:ascii="Times New Roman" w:hAnsi="Times New Roman"/>
          <w:sz w:val="24"/>
          <w:szCs w:val="24"/>
        </w:rPr>
        <w:tab/>
      </w:r>
    </w:p>
    <w:p w:rsidR="00A063BB" w:rsidRDefault="00A063BB" w:rsidP="003923C2">
      <w:pPr>
        <w:spacing w:after="0"/>
        <w:ind w:firstLine="360"/>
        <w:rPr>
          <w:rFonts w:ascii="Times New Roman" w:hAnsi="Times New Roman"/>
          <w:sz w:val="24"/>
          <w:szCs w:val="24"/>
        </w:rPr>
      </w:pPr>
      <w:hyperlink r:id="rId5" w:history="1">
        <w:r w:rsidRPr="00F32887">
          <w:rPr>
            <w:rStyle w:val="Hyperlink"/>
            <w:rFonts w:ascii="Times New Roman" w:hAnsi="Times New Roman"/>
            <w:sz w:val="24"/>
            <w:szCs w:val="24"/>
          </w:rPr>
          <w:t>ehmartel@starpower.net</w:t>
        </w:r>
      </w:hyperlink>
      <w:r>
        <w:rPr>
          <w:rFonts w:ascii="Times New Roman" w:hAnsi="Times New Roman"/>
          <w:sz w:val="24"/>
          <w:szCs w:val="24"/>
        </w:rPr>
        <w:t xml:space="preserve"> </w:t>
      </w:r>
    </w:p>
    <w:p w:rsidR="00A063BB" w:rsidRDefault="00A063BB" w:rsidP="00FB0187">
      <w:pPr>
        <w:spacing w:after="0"/>
        <w:rPr>
          <w:rFonts w:ascii="Times New Roman" w:hAnsi="Times New Roman"/>
          <w:sz w:val="24"/>
          <w:szCs w:val="24"/>
        </w:rPr>
      </w:pPr>
    </w:p>
    <w:p w:rsidR="00A063BB" w:rsidRDefault="00A063BB" w:rsidP="00FB0187">
      <w:pPr>
        <w:spacing w:after="0"/>
        <w:rPr>
          <w:rFonts w:ascii="Times New Roman" w:hAnsi="Times New Roman"/>
          <w:sz w:val="24"/>
          <w:szCs w:val="24"/>
        </w:rPr>
      </w:pPr>
      <w:r>
        <w:rPr>
          <w:rFonts w:ascii="Times New Roman" w:hAnsi="Times New Roman"/>
          <w:sz w:val="24"/>
          <w:szCs w:val="24"/>
        </w:rPr>
        <w:t xml:space="preserve">In April 2010, after the DC Public Schools (DCPS) and the Washington Teachers’ Union (WTU) signed a contract after two years of negotiations, it was revealed that the Walton Foundation (funded by the Wal-Mart Corporation) and the Arnold, Broad and Robertson Foundations had agreed to provide the DC Public Schools a $64.5 million grant over a period of 3 fiscal years, 2010-2012.  The grant was arranged by Cate Swinburn, President of the DC Public Education Fund (DCPEF).  </w:t>
      </w:r>
    </w:p>
    <w:p w:rsidR="00A063BB" w:rsidRDefault="00A063BB" w:rsidP="00FB0187">
      <w:pPr>
        <w:spacing w:after="0"/>
        <w:rPr>
          <w:rFonts w:ascii="Times New Roman" w:hAnsi="Times New Roman"/>
          <w:sz w:val="24"/>
          <w:szCs w:val="24"/>
        </w:rPr>
      </w:pPr>
    </w:p>
    <w:p w:rsidR="00A063BB" w:rsidRDefault="00A063BB" w:rsidP="00B35E0A">
      <w:pPr>
        <w:spacing w:after="0"/>
        <w:rPr>
          <w:rFonts w:ascii="Times New Roman" w:hAnsi="Times New Roman"/>
          <w:sz w:val="24"/>
          <w:szCs w:val="24"/>
        </w:rPr>
      </w:pPr>
      <w:r>
        <w:rPr>
          <w:rFonts w:ascii="Times New Roman" w:hAnsi="Times New Roman"/>
          <w:sz w:val="24"/>
          <w:szCs w:val="24"/>
        </w:rPr>
        <w:t xml:space="preserve">The funds were to be used for </w:t>
      </w:r>
      <w:r w:rsidRPr="00750C1C">
        <w:rPr>
          <w:rFonts w:ascii="Times New Roman" w:hAnsi="Times New Roman"/>
          <w:b/>
          <w:sz w:val="24"/>
          <w:szCs w:val="24"/>
        </w:rPr>
        <w:t>incremental salary increases</w:t>
      </w:r>
      <w:r>
        <w:rPr>
          <w:rFonts w:ascii="Times New Roman" w:hAnsi="Times New Roman"/>
          <w:sz w:val="24"/>
          <w:szCs w:val="24"/>
        </w:rPr>
        <w:t xml:space="preserve">, </w:t>
      </w:r>
      <w:r w:rsidRPr="00750C1C">
        <w:rPr>
          <w:rFonts w:ascii="Times New Roman" w:hAnsi="Times New Roman"/>
          <w:b/>
          <w:sz w:val="24"/>
          <w:szCs w:val="24"/>
        </w:rPr>
        <w:t>“performance-based excessing</w:t>
      </w:r>
      <w:r>
        <w:rPr>
          <w:rFonts w:ascii="Times New Roman" w:hAnsi="Times New Roman"/>
          <w:sz w:val="24"/>
          <w:szCs w:val="24"/>
        </w:rPr>
        <w:t xml:space="preserve">,” and </w:t>
      </w:r>
      <w:r w:rsidRPr="00750C1C">
        <w:rPr>
          <w:rFonts w:ascii="Times New Roman" w:hAnsi="Times New Roman"/>
          <w:b/>
          <w:sz w:val="24"/>
          <w:szCs w:val="24"/>
        </w:rPr>
        <w:t>performance bonuses for teachers</w:t>
      </w:r>
      <w:r>
        <w:rPr>
          <w:rFonts w:ascii="Times New Roman" w:hAnsi="Times New Roman"/>
          <w:sz w:val="24"/>
          <w:szCs w:val="24"/>
        </w:rPr>
        <w:t>.  A teacher becomes excessed when their budgeted position has been eliminated.  Even though all excessed teachers have “effective” evaluations, they have no right to vacancies they are certified to teach.  They are placed in the same pool of teachers as new hires from which principals fill their vacancies.  Teachers lost through the excessing process are in addition to those terminated in July due to “ineffective” evaluations.  This process has contributed to a very high teacher turnover or “churn” rate, which contributes to low teacher morale and stagnant student test scores.</w:t>
      </w:r>
    </w:p>
    <w:p w:rsidR="00A063BB" w:rsidRDefault="00A063BB" w:rsidP="00B35E0A">
      <w:pPr>
        <w:spacing w:after="0"/>
        <w:rPr>
          <w:rFonts w:ascii="Times New Roman" w:hAnsi="Times New Roman"/>
          <w:sz w:val="24"/>
          <w:szCs w:val="24"/>
        </w:rPr>
      </w:pPr>
      <w:r>
        <w:rPr>
          <w:rFonts w:ascii="Times New Roman" w:hAnsi="Times New Roman"/>
          <w:sz w:val="24"/>
          <w:szCs w:val="24"/>
        </w:rPr>
        <w:t xml:space="preserve"> </w:t>
      </w:r>
    </w:p>
    <w:p w:rsidR="00A063BB" w:rsidRDefault="00A063BB" w:rsidP="00B35E0A">
      <w:pPr>
        <w:spacing w:after="0"/>
        <w:rPr>
          <w:rFonts w:ascii="Times New Roman" w:hAnsi="Times New Roman"/>
          <w:sz w:val="24"/>
          <w:szCs w:val="24"/>
        </w:rPr>
      </w:pPr>
      <w:r>
        <w:rPr>
          <w:rFonts w:ascii="Times New Roman" w:hAnsi="Times New Roman"/>
          <w:sz w:val="24"/>
          <w:szCs w:val="24"/>
        </w:rPr>
        <w:t>The foundations’ “funding commitments were based on a belief that the proposed teachers’ contract will have a significant impact on the outcomes of [Rhee’s] reform efforts….” (Swinburn to Rhee, 3/30/2010).  In their letters to both Swinburn and Rhee, dated between March 12 and 17, 2010, in addition to requiring that teachers first ratify the draft contract with no material changes, each of the four foundations listed student improvement as a condition for the continuing payment of funds:</w:t>
      </w:r>
    </w:p>
    <w:p w:rsidR="00A063BB" w:rsidRDefault="00A063BB" w:rsidP="003521F0">
      <w:pPr>
        <w:spacing w:after="0"/>
        <w:ind w:left="36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3521F0">
        <w:rPr>
          <w:rFonts w:ascii="Times New Roman" w:hAnsi="Times New Roman"/>
          <w:sz w:val="24"/>
          <w:szCs w:val="24"/>
        </w:rPr>
        <w:t xml:space="preserve">“DCPS and DCPEF must verify that DCPS is meeting the student achievement outcomes detailed in </w:t>
      </w:r>
      <w:r>
        <w:rPr>
          <w:rFonts w:ascii="Times New Roman" w:hAnsi="Times New Roman"/>
          <w:sz w:val="24"/>
          <w:szCs w:val="24"/>
        </w:rPr>
        <w:t>th</w:t>
      </w:r>
      <w:r w:rsidRPr="003521F0">
        <w:rPr>
          <w:rFonts w:ascii="Times New Roman" w:hAnsi="Times New Roman"/>
          <w:sz w:val="24"/>
          <w:szCs w:val="24"/>
        </w:rPr>
        <w:t>e ‘Predicted Gains’ document received on February 16, 2010.”  (A</w:t>
      </w:r>
      <w:r>
        <w:rPr>
          <w:rFonts w:ascii="Times New Roman" w:hAnsi="Times New Roman"/>
          <w:sz w:val="24"/>
          <w:szCs w:val="24"/>
        </w:rPr>
        <w:t>rnold &amp; Broad Foundations)</w:t>
      </w:r>
    </w:p>
    <w:p w:rsidR="00A063BB" w:rsidRDefault="00A063BB" w:rsidP="003521F0">
      <w:pPr>
        <w:spacing w:after="0"/>
        <w:ind w:left="36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“Payments … will be contingent on successful completion of milestones and achievement of projected outcomes (such as, student achievement gains; and hiring and retention rates of effective teachers). “ (Robertson Foundation)</w:t>
      </w:r>
    </w:p>
    <w:p w:rsidR="00A063BB" w:rsidRPr="003521F0" w:rsidRDefault="00A063BB" w:rsidP="003521F0">
      <w:pPr>
        <w:spacing w:after="0"/>
        <w:ind w:left="360" w:hanging="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“Payments … will be contingent on successful completion of milestones and achievement of projected outcomes, in particular the student achievement goals outlined in the “Predicted Gains” document received on February 16, 2010.”  (Walton Foundation)</w:t>
      </w:r>
    </w:p>
    <w:p w:rsidR="00A063BB" w:rsidRDefault="00A063BB" w:rsidP="00FB0187">
      <w:pPr>
        <w:spacing w:after="0"/>
        <w:rPr>
          <w:rFonts w:ascii="Times New Roman" w:hAnsi="Times New Roman"/>
          <w:sz w:val="24"/>
          <w:szCs w:val="24"/>
        </w:rPr>
      </w:pPr>
    </w:p>
    <w:p w:rsidR="00A063BB" w:rsidRDefault="00A063BB" w:rsidP="00FB0187">
      <w:pPr>
        <w:spacing w:after="0"/>
        <w:rPr>
          <w:rFonts w:ascii="Times New Roman" w:hAnsi="Times New Roman"/>
          <w:sz w:val="24"/>
          <w:szCs w:val="24"/>
        </w:rPr>
      </w:pPr>
      <w:r>
        <w:rPr>
          <w:rFonts w:ascii="Times New Roman" w:hAnsi="Times New Roman"/>
          <w:sz w:val="24"/>
          <w:szCs w:val="24"/>
        </w:rPr>
        <w:t>The term used in the Walton Foundation letter, “Predicted Gains,” refers to a list of projected annual test score increases in 2010, 2011 and 2012, the life of the grant that Chancellor Michelle Rhee said that she could achieve with her carrot and stick combination of bonuses and terminations.</w:t>
      </w:r>
    </w:p>
    <w:p w:rsidR="00A063BB" w:rsidRDefault="00A063BB" w:rsidP="00FB0187">
      <w:pPr>
        <w:spacing w:after="0"/>
        <w:rPr>
          <w:rFonts w:ascii="Times New Roman" w:hAnsi="Times New Roman"/>
          <w:b/>
          <w:sz w:val="24"/>
          <w:szCs w:val="24"/>
        </w:rPr>
      </w:pPr>
    </w:p>
    <w:p w:rsidR="00A063BB" w:rsidRPr="00792860" w:rsidRDefault="00A063BB" w:rsidP="00FB0187">
      <w:pPr>
        <w:spacing w:after="0"/>
        <w:rPr>
          <w:rFonts w:ascii="Times New Roman" w:hAnsi="Times New Roman"/>
          <w:b/>
          <w:sz w:val="24"/>
          <w:szCs w:val="24"/>
        </w:rPr>
      </w:pPr>
      <w:r>
        <w:rPr>
          <w:rFonts w:ascii="Times New Roman" w:hAnsi="Times New Roman"/>
          <w:b/>
          <w:sz w:val="24"/>
          <w:szCs w:val="24"/>
        </w:rPr>
        <w:t>The Results (In detail, below) show that Rhee and Henderson failed to meet their goals:</w:t>
      </w:r>
    </w:p>
    <w:p w:rsidR="00A063BB" w:rsidRDefault="00A063BB" w:rsidP="00FB0187">
      <w:pPr>
        <w:spacing w:after="0"/>
        <w:rPr>
          <w:rFonts w:ascii="Times New Roman" w:hAnsi="Times New Roman"/>
          <w:sz w:val="24"/>
          <w:szCs w:val="24"/>
        </w:rPr>
      </w:pPr>
      <w:r>
        <w:rPr>
          <w:rFonts w:ascii="Times New Roman" w:hAnsi="Times New Roman"/>
          <w:sz w:val="24"/>
          <w:szCs w:val="24"/>
        </w:rPr>
        <w:t xml:space="preserve">For School Year 2009-10, Rhee promised sixteen (16) “predicted gains” – </w:t>
      </w:r>
      <w:r w:rsidRPr="00E80297">
        <w:rPr>
          <w:rFonts w:ascii="Times New Roman" w:hAnsi="Times New Roman"/>
          <w:b/>
          <w:sz w:val="24"/>
          <w:szCs w:val="24"/>
        </w:rPr>
        <w:t>None were met</w:t>
      </w:r>
      <w:r>
        <w:rPr>
          <w:rFonts w:ascii="Times New Roman" w:hAnsi="Times New Roman"/>
          <w:b/>
          <w:sz w:val="24"/>
          <w:szCs w:val="24"/>
        </w:rPr>
        <w:t xml:space="preserve"> (0/16)</w:t>
      </w:r>
    </w:p>
    <w:p w:rsidR="00A063BB" w:rsidRDefault="00A063BB" w:rsidP="00FB0187">
      <w:pPr>
        <w:spacing w:after="0"/>
        <w:rPr>
          <w:rFonts w:ascii="Times New Roman" w:hAnsi="Times New Roman"/>
          <w:sz w:val="24"/>
          <w:szCs w:val="24"/>
        </w:rPr>
      </w:pPr>
      <w:r>
        <w:rPr>
          <w:rFonts w:ascii="Times New Roman" w:hAnsi="Times New Roman"/>
          <w:sz w:val="24"/>
          <w:szCs w:val="24"/>
        </w:rPr>
        <w:t xml:space="preserve">For School Year 2010-11, Rhee promised twenty (20) “predicted gains” – </w:t>
      </w:r>
      <w:r w:rsidRPr="00E80297">
        <w:rPr>
          <w:rFonts w:ascii="Times New Roman" w:hAnsi="Times New Roman"/>
          <w:b/>
          <w:sz w:val="24"/>
          <w:szCs w:val="24"/>
        </w:rPr>
        <w:t>Two were met</w:t>
      </w:r>
      <w:r>
        <w:rPr>
          <w:rFonts w:ascii="Times New Roman" w:hAnsi="Times New Roman"/>
          <w:b/>
          <w:sz w:val="24"/>
          <w:szCs w:val="24"/>
        </w:rPr>
        <w:t xml:space="preserve">   (2/20)</w:t>
      </w:r>
    </w:p>
    <w:p w:rsidR="00A063BB" w:rsidRPr="00301EC5" w:rsidRDefault="00A063BB" w:rsidP="00301EC5">
      <w:pPr>
        <w:spacing w:after="0"/>
        <w:ind w:left="5040" w:firstLine="360"/>
        <w:rPr>
          <w:rFonts w:ascii="Times New Roman" w:hAnsi="Times New Roman"/>
          <w:b/>
          <w:sz w:val="24"/>
          <w:szCs w:val="24"/>
        </w:rPr>
      </w:pPr>
      <w:r w:rsidRPr="00037A7D">
        <w:rPr>
          <w:rFonts w:ascii="Times New Roman" w:hAnsi="Times New Roman"/>
          <w:b/>
          <w:sz w:val="24"/>
          <w:szCs w:val="24"/>
        </w:rPr>
        <w:t xml:space="preserve">Two year TOTAL:  </w:t>
      </w:r>
      <w:r w:rsidRPr="00037A7D">
        <w:rPr>
          <w:rFonts w:ascii="Times New Roman" w:hAnsi="Times New Roman"/>
          <w:b/>
          <w:sz w:val="24"/>
          <w:szCs w:val="24"/>
        </w:rPr>
        <w:tab/>
      </w:r>
      <w:r w:rsidRPr="00037A7D">
        <w:rPr>
          <w:rFonts w:ascii="Times New Roman" w:hAnsi="Times New Roman"/>
          <w:b/>
          <w:sz w:val="24"/>
          <w:szCs w:val="24"/>
        </w:rPr>
        <w:tab/>
      </w:r>
      <w:r w:rsidRPr="00037A7D">
        <w:rPr>
          <w:rFonts w:ascii="Times New Roman" w:hAnsi="Times New Roman"/>
          <w:b/>
          <w:sz w:val="24"/>
          <w:szCs w:val="24"/>
        </w:rPr>
        <w:tab/>
      </w:r>
      <w:r w:rsidRPr="00037A7D">
        <w:rPr>
          <w:rFonts w:ascii="Times New Roman" w:hAnsi="Times New Roman"/>
          <w:b/>
          <w:sz w:val="24"/>
          <w:szCs w:val="24"/>
        </w:rPr>
        <w:tab/>
        <w:t xml:space="preserve">   (2/36)</w:t>
      </w:r>
    </w:p>
    <w:p w:rsidR="00A063BB" w:rsidRDefault="00A063BB" w:rsidP="0052051C">
      <w:pPr>
        <w:spacing w:after="0"/>
        <w:rPr>
          <w:rFonts w:ascii="Times New Roman" w:hAnsi="Times New Roman"/>
          <w:sz w:val="24"/>
          <w:szCs w:val="24"/>
        </w:rPr>
      </w:pPr>
    </w:p>
    <w:p w:rsidR="00A063BB" w:rsidRDefault="00A063BB" w:rsidP="0052051C">
      <w:pPr>
        <w:spacing w:after="0"/>
        <w:rPr>
          <w:rFonts w:ascii="Times New Roman" w:hAnsi="Times New Roman"/>
          <w:sz w:val="24"/>
          <w:szCs w:val="24"/>
        </w:rPr>
      </w:pPr>
      <w:r>
        <w:rPr>
          <w:rFonts w:ascii="Times New Roman" w:hAnsi="Times New Roman"/>
          <w:sz w:val="24"/>
          <w:szCs w:val="24"/>
        </w:rPr>
        <w:t>For “</w:t>
      </w:r>
      <w:r w:rsidRPr="00FE7418">
        <w:rPr>
          <w:rFonts w:ascii="Times New Roman" w:hAnsi="Times New Roman"/>
          <w:b/>
          <w:sz w:val="24"/>
          <w:szCs w:val="24"/>
        </w:rPr>
        <w:t>student achievement growth</w:t>
      </w:r>
      <w:r>
        <w:rPr>
          <w:rFonts w:ascii="Times New Roman" w:hAnsi="Times New Roman"/>
          <w:sz w:val="24"/>
          <w:szCs w:val="24"/>
        </w:rPr>
        <w:t xml:space="preserve">,” Rhee listed 16 “predicted gains” for 2010 and 20 for 2011.  </w:t>
      </w:r>
    </w:p>
    <w:p w:rsidR="00A063BB" w:rsidRDefault="00A063BB" w:rsidP="0052051C">
      <w:pPr>
        <w:spacing w:after="0"/>
        <w:rPr>
          <w:rFonts w:ascii="Times New Roman" w:hAnsi="Times New Roman"/>
          <w:sz w:val="24"/>
          <w:szCs w:val="24"/>
        </w:rPr>
      </w:pPr>
      <w:r>
        <w:rPr>
          <w:rFonts w:ascii="Times New Roman" w:hAnsi="Times New Roman"/>
          <w:sz w:val="24"/>
          <w:szCs w:val="24"/>
        </w:rPr>
        <w:t>Number of Predicted Gains Met: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42B8">
        <w:rPr>
          <w:rFonts w:ascii="Times New Roman" w:hAnsi="Times New Roman"/>
          <w:b/>
          <w:sz w:val="24"/>
          <w:szCs w:val="24"/>
        </w:rPr>
        <w:t>2010:  0 out of 16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42B8">
        <w:rPr>
          <w:rFonts w:ascii="Times New Roman" w:hAnsi="Times New Roman"/>
          <w:b/>
          <w:sz w:val="24"/>
          <w:szCs w:val="24"/>
        </w:rPr>
        <w:t>2011:  2 out of 20</w:t>
      </w:r>
      <w:r>
        <w:rPr>
          <w:rFonts w:ascii="Times New Roman" w:hAnsi="Times New Roman"/>
          <w:b/>
          <w:sz w:val="24"/>
          <w:szCs w:val="24"/>
        </w:rPr>
        <w:t xml:space="preserve"> </w:t>
      </w:r>
      <w:r w:rsidRPr="006B7298">
        <w:rPr>
          <w:rFonts w:ascii="Times New Roman" w:hAnsi="Times New Roman"/>
          <w:sz w:val="24"/>
          <w:szCs w:val="24"/>
        </w:rPr>
        <w:t>(in bold blue)</w:t>
      </w:r>
    </w:p>
    <w:p w:rsidR="00A063BB" w:rsidRDefault="00A063BB" w:rsidP="0052051C">
      <w:pPr>
        <w:spacing w:after="0"/>
        <w:rPr>
          <w:rFonts w:ascii="Times New Roman" w:hAnsi="Times New Roman"/>
          <w:sz w:val="24"/>
          <w:szCs w:val="24"/>
        </w:rPr>
      </w:pPr>
      <w:r>
        <w:rPr>
          <w:rFonts w:ascii="Times New Roman" w:hAnsi="Times New Roman"/>
          <w:sz w:val="24"/>
          <w:szCs w:val="24"/>
        </w:rPr>
        <w:t>Number of Target Scores/Gaps Met:</w:t>
      </w:r>
      <w:r>
        <w:rPr>
          <w:rFonts w:ascii="Times New Roman" w:hAnsi="Times New Roman"/>
          <w:sz w:val="24"/>
          <w:szCs w:val="24"/>
        </w:rPr>
        <w:tab/>
      </w:r>
      <w:r>
        <w:rPr>
          <w:rFonts w:ascii="Times New Roman" w:hAnsi="Times New Roman"/>
          <w:sz w:val="24"/>
          <w:szCs w:val="24"/>
        </w:rPr>
        <w:tab/>
      </w:r>
      <w:r w:rsidRPr="0072764B">
        <w:rPr>
          <w:rFonts w:ascii="Times New Roman" w:hAnsi="Times New Roman"/>
          <w:b/>
          <w:sz w:val="24"/>
          <w:szCs w:val="24"/>
        </w:rPr>
        <w:t>2020:  0 out of 16</w:t>
      </w:r>
      <w:r w:rsidRPr="0072764B">
        <w:rPr>
          <w:rFonts w:ascii="Times New Roman" w:hAnsi="Times New Roman"/>
          <w:b/>
          <w:sz w:val="24"/>
          <w:szCs w:val="24"/>
        </w:rPr>
        <w:tab/>
      </w:r>
      <w:r w:rsidRPr="0072764B">
        <w:rPr>
          <w:rFonts w:ascii="Times New Roman" w:hAnsi="Times New Roman"/>
          <w:b/>
          <w:sz w:val="24"/>
          <w:szCs w:val="24"/>
        </w:rPr>
        <w:tab/>
      </w:r>
      <w:r w:rsidRPr="0072764B">
        <w:rPr>
          <w:rFonts w:ascii="Times New Roman" w:hAnsi="Times New Roman"/>
          <w:b/>
          <w:sz w:val="24"/>
          <w:szCs w:val="24"/>
        </w:rPr>
        <w:tab/>
        <w:t>2011:  0 out of 20</w:t>
      </w:r>
      <w:r w:rsidRPr="0072764B">
        <w:rPr>
          <w:rFonts w:ascii="Times New Roman" w:hAnsi="Times New Roman"/>
          <w:b/>
          <w:sz w:val="24"/>
          <w:szCs w:val="24"/>
        </w:rPr>
        <w:tab/>
      </w:r>
      <w:r>
        <w:rPr>
          <w:rFonts w:ascii="Times New Roman" w:hAnsi="Times New Roman"/>
          <w:sz w:val="24"/>
          <w:szCs w:val="24"/>
        </w:rPr>
        <w:tab/>
      </w:r>
    </w:p>
    <w:p w:rsidR="00A063BB" w:rsidRDefault="00A063BB" w:rsidP="0052051C">
      <w:pPr>
        <w:spacing w:after="0"/>
        <w:rPr>
          <w:rFonts w:ascii="Times New Roman" w:hAnsi="Times New Roman"/>
          <w:sz w:val="24"/>
          <w:szCs w:val="24"/>
        </w:rPr>
      </w:pPr>
    </w:p>
    <w:p w:rsidR="00A063BB" w:rsidRDefault="00A063BB" w:rsidP="0052051C">
      <w:pPr>
        <w:spacing w:after="0"/>
        <w:rPr>
          <w:rFonts w:ascii="Times New Roman" w:hAnsi="Times New Roman"/>
          <w:sz w:val="24"/>
          <w:szCs w:val="24"/>
        </w:rPr>
      </w:pPr>
    </w:p>
    <w:p w:rsidR="00A063BB" w:rsidRPr="00180852" w:rsidRDefault="00A063BB" w:rsidP="0052051C">
      <w:pPr>
        <w:spacing w:after="0"/>
        <w:rPr>
          <w:rFonts w:ascii="Times New Roman" w:hAnsi="Times New Roman"/>
          <w:b/>
          <w:sz w:val="24"/>
          <w:szCs w:val="24"/>
        </w:rPr>
      </w:pPr>
      <w:r>
        <w:rPr>
          <w:rFonts w:ascii="Times New Roman" w:hAnsi="Times New Roman"/>
          <w:b/>
          <w:sz w:val="24"/>
          <w:szCs w:val="24"/>
        </w:rPr>
        <w:t>The r</w:t>
      </w:r>
      <w:r w:rsidRPr="00180852">
        <w:rPr>
          <w:rFonts w:ascii="Times New Roman" w:hAnsi="Times New Roman"/>
          <w:b/>
          <w:sz w:val="24"/>
          <w:szCs w:val="24"/>
        </w:rPr>
        <w:t>esults, in detail</w:t>
      </w:r>
      <w:r>
        <w:rPr>
          <w:rFonts w:ascii="Times New Roman" w:hAnsi="Times New Roman"/>
          <w:b/>
          <w:sz w:val="24"/>
          <w:szCs w:val="24"/>
        </w:rPr>
        <w:t xml:space="preserve"> (scores from 2009 are the base for Rhee’s “predicted gains” )</w:t>
      </w:r>
      <w:r w:rsidRPr="00180852">
        <w:rPr>
          <w:rFonts w:ascii="Times New Roman" w:hAnsi="Times New Roman"/>
          <w:b/>
          <w:sz w:val="24"/>
          <w:szCs w:val="24"/>
        </w:rPr>
        <w:t>:</w:t>
      </w:r>
    </w:p>
    <w:p w:rsidR="00A063BB" w:rsidRPr="00F73E17" w:rsidRDefault="00A063BB" w:rsidP="0052051C">
      <w:pPr>
        <w:spacing w:after="0"/>
        <w:rPr>
          <w:rFonts w:ascii="Times New Roman" w:hAnsi="Times New Roman"/>
          <w:b/>
        </w:rPr>
      </w:pPr>
      <w:r w:rsidRPr="00F73E17">
        <w:rPr>
          <w:rFonts w:ascii="Times New Roman" w:hAnsi="Times New Roman"/>
          <w:b/>
        </w:rPr>
        <w:t>Gains in NAEP: % Proficient</w:t>
      </w:r>
      <w:r w:rsidRPr="00F73E17">
        <w:rPr>
          <w:rFonts w:ascii="Times New Roman" w:hAnsi="Times New Roman"/>
          <w:b/>
        </w:rPr>
        <w:tab/>
      </w:r>
    </w:p>
    <w:p w:rsidR="00A063BB" w:rsidRPr="00FE30D0" w:rsidRDefault="00A063BB" w:rsidP="0052051C">
      <w:pPr>
        <w:spacing w:after="0"/>
        <w:rPr>
          <w:rFonts w:ascii="Times New Roman" w:hAnsi="Times New Roman"/>
          <w:sz w:val="20"/>
          <w:szCs w:val="20"/>
        </w:rPr>
      </w:pPr>
      <w:r>
        <w:rPr>
          <w:rFonts w:ascii="Times New Roman" w:hAnsi="Times New Roman"/>
          <w:sz w:val="20"/>
          <w:szCs w:val="20"/>
        </w:rPr>
        <w:tab/>
      </w:r>
      <w:r w:rsidRPr="00FE30D0">
        <w:rPr>
          <w:rFonts w:ascii="Times New Roman" w:hAnsi="Times New Roman"/>
          <w:sz w:val="20"/>
          <w:szCs w:val="20"/>
        </w:rPr>
        <w:tab/>
      </w:r>
      <w:r>
        <w:rPr>
          <w:rFonts w:ascii="Times New Roman" w:hAnsi="Times New Roman"/>
          <w:sz w:val="20"/>
          <w:szCs w:val="20"/>
        </w:rPr>
        <w:t>NAEP: % Proficient</w:t>
      </w:r>
      <w:r w:rsidRPr="00FE30D0">
        <w:rPr>
          <w:rFonts w:ascii="Times New Roman" w:hAnsi="Times New Roman"/>
          <w:sz w:val="20"/>
          <w:szCs w:val="20"/>
        </w:rPr>
        <w:tab/>
      </w:r>
      <w:r>
        <w:rPr>
          <w:rFonts w:ascii="Times New Roman" w:hAnsi="Times New Roman"/>
          <w:sz w:val="20"/>
          <w:szCs w:val="20"/>
        </w:rPr>
        <w:t>2009</w:t>
      </w:r>
      <w:r w:rsidRPr="00FE30D0">
        <w:rPr>
          <w:rFonts w:ascii="Times New Roman" w:hAnsi="Times New Roman"/>
          <w:sz w:val="20"/>
          <w:szCs w:val="20"/>
        </w:rPr>
        <w:tab/>
        <w:t>[2010 Predicted] [2010 Actual ]</w:t>
      </w:r>
      <w:r w:rsidRPr="00FE30D0">
        <w:rPr>
          <w:rFonts w:ascii="Times New Roman" w:hAnsi="Times New Roman"/>
          <w:sz w:val="20"/>
          <w:szCs w:val="20"/>
        </w:rPr>
        <w:tab/>
        <w:t>[2011 Predicted]</w:t>
      </w:r>
      <w:r>
        <w:rPr>
          <w:rFonts w:ascii="Times New Roman" w:hAnsi="Times New Roman"/>
          <w:sz w:val="20"/>
          <w:szCs w:val="20"/>
        </w:rPr>
        <w:t xml:space="preserve">   </w:t>
      </w:r>
      <w:r w:rsidRPr="00FE30D0">
        <w:rPr>
          <w:rFonts w:ascii="Times New Roman" w:hAnsi="Times New Roman"/>
          <w:sz w:val="20"/>
          <w:szCs w:val="20"/>
        </w:rPr>
        <w:t xml:space="preserve"> [2011 Actual]</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u w:val="single"/>
        </w:rPr>
        <w:t xml:space="preserve">Category </w:t>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u w:val="single"/>
        </w:rPr>
        <w:t>Score</w:t>
      </w:r>
      <w:r w:rsidRPr="00FE30D0">
        <w:rPr>
          <w:rFonts w:ascii="Times New Roman" w:hAnsi="Times New Roman"/>
          <w:sz w:val="20"/>
          <w:szCs w:val="20"/>
        </w:rPr>
        <w:tab/>
        <w:t xml:space="preserve">  </w:t>
      </w:r>
      <w:r w:rsidRPr="00FE30D0">
        <w:rPr>
          <w:rFonts w:ascii="Times New Roman" w:hAnsi="Times New Roman"/>
          <w:sz w:val="20"/>
          <w:szCs w:val="20"/>
          <w:u w:val="single"/>
        </w:rPr>
        <w:t>Gain</w:t>
      </w:r>
      <w:r w:rsidRPr="00FE30D0">
        <w:rPr>
          <w:rFonts w:ascii="Times New Roman" w:hAnsi="Times New Roman"/>
          <w:sz w:val="20"/>
          <w:szCs w:val="20"/>
        </w:rPr>
        <w:tab/>
        <w:t xml:space="preserve"> </w:t>
      </w:r>
      <w:r w:rsidRPr="00FE30D0">
        <w:rPr>
          <w:rFonts w:ascii="Times New Roman" w:hAnsi="Times New Roman"/>
          <w:sz w:val="20"/>
          <w:szCs w:val="20"/>
          <w:u w:val="single"/>
        </w:rPr>
        <w:t>Score</w:t>
      </w:r>
      <w:r w:rsidRPr="00FE30D0">
        <w:rPr>
          <w:rFonts w:ascii="Times New Roman" w:hAnsi="Times New Roman"/>
          <w:sz w:val="20"/>
          <w:szCs w:val="20"/>
        </w:rPr>
        <w:tab/>
        <w:t xml:space="preserve">     </w:t>
      </w:r>
      <w:r w:rsidRPr="00FE30D0">
        <w:rPr>
          <w:rFonts w:ascii="Times New Roman" w:hAnsi="Times New Roman"/>
          <w:sz w:val="20"/>
          <w:szCs w:val="20"/>
          <w:u w:val="single"/>
        </w:rPr>
        <w:t>Gain</w:t>
      </w:r>
      <w:r w:rsidRPr="00FE30D0">
        <w:rPr>
          <w:rFonts w:ascii="Times New Roman" w:hAnsi="Times New Roman"/>
          <w:sz w:val="20"/>
          <w:szCs w:val="20"/>
        </w:rPr>
        <w:t xml:space="preserve">  </w:t>
      </w:r>
      <w:r w:rsidRPr="00FE30D0">
        <w:rPr>
          <w:rFonts w:ascii="Times New Roman" w:hAnsi="Times New Roman"/>
          <w:sz w:val="20"/>
          <w:szCs w:val="20"/>
          <w:u w:val="single"/>
        </w:rPr>
        <w:t>Score</w:t>
      </w:r>
      <w:r w:rsidRPr="00FE30D0">
        <w:rPr>
          <w:rFonts w:ascii="Times New Roman" w:hAnsi="Times New Roman"/>
          <w:sz w:val="20"/>
          <w:szCs w:val="20"/>
        </w:rPr>
        <w:tab/>
        <w:t xml:space="preserve"> </w:t>
      </w:r>
      <w:r w:rsidRPr="00FE30D0">
        <w:rPr>
          <w:rFonts w:ascii="Times New Roman" w:hAnsi="Times New Roman"/>
          <w:sz w:val="20"/>
          <w:szCs w:val="20"/>
          <w:u w:val="single"/>
        </w:rPr>
        <w:t>Gain</w:t>
      </w:r>
      <w:r w:rsidRPr="00FE30D0">
        <w:rPr>
          <w:rFonts w:ascii="Times New Roman" w:hAnsi="Times New Roman"/>
          <w:sz w:val="20"/>
          <w:szCs w:val="20"/>
        </w:rPr>
        <w:tab/>
      </w:r>
      <w:r w:rsidRPr="00FE30D0">
        <w:rPr>
          <w:rFonts w:ascii="Times New Roman" w:hAnsi="Times New Roman"/>
          <w:sz w:val="20"/>
          <w:szCs w:val="20"/>
          <w:u w:val="single"/>
        </w:rPr>
        <w:t>Score</w:t>
      </w:r>
      <w:r w:rsidRPr="00FE30D0">
        <w:rPr>
          <w:rFonts w:ascii="Times New Roman" w:hAnsi="Times New Roman"/>
          <w:sz w:val="20"/>
          <w:szCs w:val="20"/>
        </w:rPr>
        <w:tab/>
        <w:t xml:space="preserve">     </w:t>
      </w:r>
      <w:r w:rsidRPr="00FE30D0">
        <w:rPr>
          <w:rFonts w:ascii="Times New Roman" w:hAnsi="Times New Roman"/>
          <w:sz w:val="20"/>
          <w:szCs w:val="20"/>
          <w:u w:val="single"/>
        </w:rPr>
        <w:t>Gain</w:t>
      </w:r>
      <w:r w:rsidRPr="00FE30D0">
        <w:rPr>
          <w:rFonts w:ascii="Times New Roman" w:hAnsi="Times New Roman"/>
          <w:sz w:val="20"/>
          <w:szCs w:val="20"/>
        </w:rPr>
        <w:t xml:space="preserve">  </w:t>
      </w:r>
      <w:r w:rsidRPr="00FE30D0">
        <w:rPr>
          <w:rFonts w:ascii="Times New Roman" w:hAnsi="Times New Roman"/>
          <w:sz w:val="20"/>
          <w:szCs w:val="20"/>
          <w:u w:val="single"/>
        </w:rPr>
        <w:t>Score</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NAEP</w:t>
      </w:r>
      <w:r>
        <w:rPr>
          <w:rFonts w:ascii="Times New Roman" w:hAnsi="Times New Roman"/>
          <w:sz w:val="20"/>
          <w:szCs w:val="20"/>
        </w:rPr>
        <w:t xml:space="preserve"> Elementary Math</w:t>
      </w:r>
      <w:r>
        <w:rPr>
          <w:rFonts w:ascii="Times New Roman" w:hAnsi="Times New Roman"/>
          <w:sz w:val="20"/>
          <w:szCs w:val="20"/>
        </w:rPr>
        <w:tab/>
      </w:r>
      <w:r>
        <w:rPr>
          <w:rFonts w:ascii="Times New Roman" w:hAnsi="Times New Roman"/>
          <w:sz w:val="20"/>
          <w:szCs w:val="20"/>
        </w:rPr>
        <w:tab/>
        <w:t>220</w:t>
      </w:r>
      <w:r>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rPr>
        <w:t xml:space="preserve">      No 2010 NAEP Testing</w:t>
      </w:r>
      <w:r w:rsidRPr="00FE30D0">
        <w:rPr>
          <w:rFonts w:ascii="Times New Roman" w:hAnsi="Times New Roman"/>
          <w:sz w:val="20"/>
          <w:szCs w:val="20"/>
        </w:rPr>
        <w:tab/>
      </w:r>
      <w:r w:rsidRPr="00FE30D0">
        <w:rPr>
          <w:rFonts w:ascii="Times New Roman" w:hAnsi="Times New Roman"/>
          <w:sz w:val="20"/>
          <w:szCs w:val="20"/>
        </w:rPr>
        <w:tab/>
        <w:t xml:space="preserve">    +5</w:t>
      </w:r>
      <w:r w:rsidRPr="00FE30D0">
        <w:rPr>
          <w:rFonts w:ascii="Times New Roman" w:hAnsi="Times New Roman"/>
          <w:sz w:val="20"/>
          <w:szCs w:val="20"/>
        </w:rPr>
        <w:tab/>
        <w:t xml:space="preserve">  225</w:t>
      </w:r>
      <w:r w:rsidRPr="00FE30D0">
        <w:rPr>
          <w:rFonts w:ascii="Times New Roman" w:hAnsi="Times New Roman"/>
          <w:sz w:val="20"/>
          <w:szCs w:val="20"/>
        </w:rPr>
        <w:tab/>
      </w:r>
      <w:r w:rsidRPr="00FE30D0">
        <w:rPr>
          <w:rFonts w:ascii="Times New Roman" w:hAnsi="Times New Roman"/>
          <w:sz w:val="20"/>
          <w:szCs w:val="20"/>
        </w:rPr>
        <w:tab/>
        <w:t>+2</w:t>
      </w:r>
      <w:r w:rsidRPr="00FE30D0">
        <w:rPr>
          <w:rFonts w:ascii="Times New Roman" w:hAnsi="Times New Roman"/>
          <w:sz w:val="20"/>
          <w:szCs w:val="20"/>
        </w:rPr>
        <w:tab/>
        <w:t xml:space="preserve">    222</w:t>
      </w:r>
      <w:r w:rsidRPr="00FE30D0">
        <w:rPr>
          <w:rFonts w:ascii="Times New Roman" w:hAnsi="Times New Roman"/>
          <w:sz w:val="20"/>
          <w:szCs w:val="20"/>
        </w:rPr>
        <w:tab/>
      </w:r>
    </w:p>
    <w:p w:rsidR="00A063BB" w:rsidRPr="00FE30D0" w:rsidRDefault="00A063BB" w:rsidP="0052051C">
      <w:pPr>
        <w:spacing w:after="0"/>
        <w:rPr>
          <w:rFonts w:ascii="Times New Roman" w:hAnsi="Times New Roman"/>
          <w:sz w:val="20"/>
          <w:szCs w:val="20"/>
        </w:rPr>
      </w:pPr>
      <w:r>
        <w:rPr>
          <w:rFonts w:ascii="Times New Roman" w:hAnsi="Times New Roman"/>
          <w:sz w:val="20"/>
          <w:szCs w:val="20"/>
        </w:rPr>
        <w:t>NAEP Secondary Math</w:t>
      </w:r>
      <w:r>
        <w:rPr>
          <w:rFonts w:ascii="Times New Roman" w:hAnsi="Times New Roman"/>
          <w:sz w:val="20"/>
          <w:szCs w:val="20"/>
        </w:rPr>
        <w:tab/>
      </w:r>
      <w:r>
        <w:rPr>
          <w:rFonts w:ascii="Times New Roman" w:hAnsi="Times New Roman"/>
          <w:sz w:val="20"/>
          <w:szCs w:val="20"/>
        </w:rPr>
        <w:tab/>
        <w:t>251</w:t>
      </w:r>
      <w:r w:rsidRPr="00FE30D0">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t>“</w:t>
      </w:r>
      <w:r>
        <w:rPr>
          <w:rFonts w:ascii="Times New Roman" w:hAnsi="Times New Roman"/>
          <w:sz w:val="20"/>
          <w:szCs w:val="20"/>
        </w:rPr>
        <w:tab/>
      </w:r>
      <w:r w:rsidRPr="00FE30D0">
        <w:rPr>
          <w:rFonts w:ascii="Times New Roman" w:hAnsi="Times New Roman"/>
          <w:sz w:val="20"/>
          <w:szCs w:val="20"/>
        </w:rPr>
        <w:t>“</w:t>
      </w:r>
      <w:r w:rsidRPr="00FE30D0">
        <w:rPr>
          <w:rFonts w:ascii="Times New Roman" w:hAnsi="Times New Roman"/>
          <w:sz w:val="20"/>
          <w:szCs w:val="20"/>
        </w:rPr>
        <w:tab/>
        <w:t>“</w:t>
      </w:r>
      <w:r w:rsidRPr="00FE30D0">
        <w:rPr>
          <w:rFonts w:ascii="Times New Roman" w:hAnsi="Times New Roman"/>
          <w:sz w:val="20"/>
          <w:szCs w:val="20"/>
        </w:rPr>
        <w:tab/>
      </w:r>
      <w:r w:rsidRPr="00FE30D0">
        <w:rPr>
          <w:rFonts w:ascii="Times New Roman" w:hAnsi="Times New Roman"/>
          <w:sz w:val="20"/>
          <w:szCs w:val="20"/>
        </w:rPr>
        <w:tab/>
        <w:t>“</w:t>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t xml:space="preserve">    +5</w:t>
      </w:r>
      <w:r w:rsidRPr="00FE30D0">
        <w:rPr>
          <w:rFonts w:ascii="Times New Roman" w:hAnsi="Times New Roman"/>
          <w:sz w:val="20"/>
          <w:szCs w:val="20"/>
        </w:rPr>
        <w:tab/>
        <w:t xml:space="preserve">  256</w:t>
      </w:r>
      <w:r w:rsidRPr="00FE30D0">
        <w:rPr>
          <w:rFonts w:ascii="Times New Roman" w:hAnsi="Times New Roman"/>
          <w:sz w:val="20"/>
          <w:szCs w:val="20"/>
        </w:rPr>
        <w:tab/>
      </w:r>
      <w:r w:rsidRPr="00FE30D0">
        <w:rPr>
          <w:rFonts w:ascii="Times New Roman" w:hAnsi="Times New Roman"/>
          <w:sz w:val="20"/>
          <w:szCs w:val="20"/>
        </w:rPr>
        <w:tab/>
        <w:t>+4      255</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 xml:space="preserve">NAEP Elementary </w:t>
      </w:r>
      <w:smartTag w:uri="urn:schemas-microsoft-com:office:smarttags" w:element="City">
        <w:smartTag w:uri="urn:schemas-microsoft-com:office:smarttags" w:element="place">
          <w:r w:rsidRPr="00FE30D0">
            <w:rPr>
              <w:rFonts w:ascii="Times New Roman" w:hAnsi="Times New Roman"/>
              <w:sz w:val="20"/>
              <w:szCs w:val="20"/>
            </w:rPr>
            <w:t>Reading</w:t>
          </w:r>
        </w:smartTag>
      </w:smartTag>
      <w:r w:rsidRPr="00FE30D0">
        <w:rPr>
          <w:rFonts w:ascii="Times New Roman" w:hAnsi="Times New Roman"/>
          <w:sz w:val="20"/>
          <w:szCs w:val="20"/>
        </w:rPr>
        <w:tab/>
      </w:r>
      <w:r>
        <w:rPr>
          <w:rFonts w:ascii="Times New Roman" w:hAnsi="Times New Roman"/>
          <w:sz w:val="20"/>
          <w:szCs w:val="20"/>
        </w:rPr>
        <w:t>202</w:t>
      </w:r>
      <w:r>
        <w:rPr>
          <w:rFonts w:ascii="Times New Roman" w:hAnsi="Times New Roman"/>
          <w:sz w:val="20"/>
          <w:szCs w:val="20"/>
        </w:rPr>
        <w:tab/>
      </w:r>
      <w:r w:rsidRPr="00FE30D0">
        <w:rPr>
          <w:rFonts w:ascii="Times New Roman" w:hAnsi="Times New Roman"/>
          <w:sz w:val="20"/>
          <w:szCs w:val="20"/>
        </w:rPr>
        <w:tab/>
        <w:t xml:space="preserve"> </w:t>
      </w:r>
      <w:r>
        <w:rPr>
          <w:rFonts w:ascii="Times New Roman" w:hAnsi="Times New Roman"/>
          <w:sz w:val="20"/>
          <w:szCs w:val="20"/>
        </w:rPr>
        <w:tab/>
      </w:r>
      <w:r w:rsidRPr="00FE30D0">
        <w:rPr>
          <w:rFonts w:ascii="Times New Roman" w:hAnsi="Times New Roman"/>
          <w:sz w:val="20"/>
          <w:szCs w:val="20"/>
        </w:rPr>
        <w:t>“</w:t>
      </w:r>
      <w:r w:rsidRPr="00FE30D0">
        <w:rPr>
          <w:rFonts w:ascii="Times New Roman" w:hAnsi="Times New Roman"/>
          <w:sz w:val="20"/>
          <w:szCs w:val="20"/>
        </w:rPr>
        <w:tab/>
        <w:t>“</w:t>
      </w:r>
      <w:r w:rsidRPr="00FE30D0">
        <w:rPr>
          <w:rFonts w:ascii="Times New Roman" w:hAnsi="Times New Roman"/>
          <w:sz w:val="20"/>
          <w:szCs w:val="20"/>
        </w:rPr>
        <w:tab/>
        <w:t>“</w:t>
      </w:r>
      <w:r w:rsidRPr="00FE30D0">
        <w:rPr>
          <w:rFonts w:ascii="Times New Roman" w:hAnsi="Times New Roman"/>
          <w:sz w:val="20"/>
          <w:szCs w:val="20"/>
        </w:rPr>
        <w:tab/>
      </w:r>
      <w:r w:rsidRPr="00FE30D0">
        <w:rPr>
          <w:rFonts w:ascii="Times New Roman" w:hAnsi="Times New Roman"/>
          <w:sz w:val="20"/>
          <w:szCs w:val="20"/>
        </w:rPr>
        <w:tab/>
        <w:t>“</w:t>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t xml:space="preserve">    +6</w:t>
      </w:r>
      <w:r w:rsidRPr="00FE30D0">
        <w:rPr>
          <w:rFonts w:ascii="Times New Roman" w:hAnsi="Times New Roman"/>
          <w:sz w:val="20"/>
          <w:szCs w:val="20"/>
        </w:rPr>
        <w:tab/>
        <w:t xml:space="preserve">  208</w:t>
      </w:r>
      <w:r w:rsidRPr="00FE30D0">
        <w:rPr>
          <w:rFonts w:ascii="Times New Roman" w:hAnsi="Times New Roman"/>
          <w:sz w:val="20"/>
          <w:szCs w:val="20"/>
        </w:rPr>
        <w:tab/>
      </w:r>
      <w:r w:rsidRPr="00FE30D0">
        <w:rPr>
          <w:rFonts w:ascii="Times New Roman" w:hAnsi="Times New Roman"/>
          <w:sz w:val="20"/>
          <w:szCs w:val="20"/>
        </w:rPr>
        <w:tab/>
        <w:t xml:space="preserve"> -1</w:t>
      </w:r>
      <w:r w:rsidRPr="00FE30D0">
        <w:rPr>
          <w:rFonts w:ascii="Times New Roman" w:hAnsi="Times New Roman"/>
          <w:sz w:val="20"/>
          <w:szCs w:val="20"/>
        </w:rPr>
        <w:tab/>
        <w:t xml:space="preserve">    201</w:t>
      </w:r>
      <w:r w:rsidRPr="00FE30D0">
        <w:rPr>
          <w:rFonts w:ascii="Times New Roman" w:hAnsi="Times New Roman"/>
          <w:sz w:val="20"/>
          <w:szCs w:val="20"/>
        </w:rPr>
        <w:tab/>
      </w:r>
      <w:r w:rsidRPr="00FE30D0">
        <w:rPr>
          <w:rFonts w:ascii="Times New Roman" w:hAnsi="Times New Roman"/>
          <w:sz w:val="20"/>
          <w:szCs w:val="20"/>
        </w:rPr>
        <w:tab/>
      </w:r>
    </w:p>
    <w:p w:rsidR="00A063BB" w:rsidRDefault="00A063BB" w:rsidP="0052051C">
      <w:pPr>
        <w:spacing w:after="0"/>
        <w:rPr>
          <w:rFonts w:ascii="Times New Roman" w:hAnsi="Times New Roman"/>
          <w:sz w:val="20"/>
          <w:szCs w:val="20"/>
        </w:rPr>
      </w:pPr>
      <w:r w:rsidRPr="00FE30D0">
        <w:rPr>
          <w:rFonts w:ascii="Times New Roman" w:hAnsi="Times New Roman"/>
          <w:sz w:val="20"/>
          <w:szCs w:val="20"/>
        </w:rPr>
        <w:t xml:space="preserve">NAEP Secondary </w:t>
      </w:r>
      <w:smartTag w:uri="urn:schemas-microsoft-com:office:smarttags" w:element="place">
        <w:smartTag w:uri="urn:schemas-microsoft-com:office:smarttags" w:element="City">
          <w:r w:rsidRPr="00FE30D0">
            <w:rPr>
              <w:rFonts w:ascii="Times New Roman" w:hAnsi="Times New Roman"/>
              <w:sz w:val="20"/>
              <w:szCs w:val="20"/>
            </w:rPr>
            <w:t>Reading</w:t>
          </w:r>
        </w:smartTag>
      </w:smartTag>
      <w:r>
        <w:rPr>
          <w:rFonts w:ascii="Times New Roman" w:hAnsi="Times New Roman"/>
          <w:sz w:val="20"/>
          <w:szCs w:val="20"/>
        </w:rPr>
        <w:tab/>
      </w:r>
      <w:r w:rsidRPr="00FE30D0">
        <w:rPr>
          <w:rFonts w:ascii="Times New Roman" w:hAnsi="Times New Roman"/>
          <w:sz w:val="20"/>
          <w:szCs w:val="20"/>
        </w:rPr>
        <w:tab/>
      </w:r>
      <w:r>
        <w:rPr>
          <w:rFonts w:ascii="Times New Roman" w:hAnsi="Times New Roman"/>
          <w:sz w:val="20"/>
          <w:szCs w:val="20"/>
        </w:rPr>
        <w:t>244</w:t>
      </w:r>
      <w:r>
        <w:rPr>
          <w:rFonts w:ascii="Times New Roman" w:hAnsi="Times New Roman"/>
          <w:sz w:val="20"/>
          <w:szCs w:val="20"/>
        </w:rPr>
        <w:tab/>
      </w:r>
      <w:r w:rsidRPr="00FE30D0">
        <w:rPr>
          <w:rFonts w:ascii="Times New Roman" w:hAnsi="Times New Roman"/>
          <w:sz w:val="20"/>
          <w:szCs w:val="20"/>
        </w:rPr>
        <w:tab/>
      </w:r>
      <w:r>
        <w:rPr>
          <w:rFonts w:ascii="Times New Roman" w:hAnsi="Times New Roman"/>
          <w:sz w:val="20"/>
          <w:szCs w:val="20"/>
        </w:rPr>
        <w:tab/>
        <w:t>“</w:t>
      </w:r>
      <w:r w:rsidRPr="00FE30D0">
        <w:rPr>
          <w:rFonts w:ascii="Times New Roman" w:hAnsi="Times New Roman"/>
          <w:sz w:val="20"/>
          <w:szCs w:val="20"/>
        </w:rPr>
        <w:tab/>
        <w:t>“</w:t>
      </w:r>
      <w:r w:rsidRPr="00FE30D0">
        <w:rPr>
          <w:rFonts w:ascii="Times New Roman" w:hAnsi="Times New Roman"/>
          <w:sz w:val="20"/>
          <w:szCs w:val="20"/>
        </w:rPr>
        <w:tab/>
        <w:t>“</w:t>
      </w:r>
      <w:r w:rsidRPr="00FE30D0">
        <w:rPr>
          <w:rFonts w:ascii="Times New Roman" w:hAnsi="Times New Roman"/>
          <w:sz w:val="20"/>
          <w:szCs w:val="20"/>
        </w:rPr>
        <w:tab/>
      </w:r>
      <w:r w:rsidRPr="00FE30D0">
        <w:rPr>
          <w:rFonts w:ascii="Times New Roman" w:hAnsi="Times New Roman"/>
          <w:sz w:val="20"/>
          <w:szCs w:val="20"/>
        </w:rPr>
        <w:tab/>
        <w:t>“</w:t>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t xml:space="preserve">    +4</w:t>
      </w:r>
      <w:r w:rsidRPr="00FE30D0">
        <w:rPr>
          <w:rFonts w:ascii="Times New Roman" w:hAnsi="Times New Roman"/>
          <w:sz w:val="20"/>
          <w:szCs w:val="20"/>
        </w:rPr>
        <w:tab/>
        <w:t xml:space="preserve">  248</w:t>
      </w:r>
      <w:r w:rsidRPr="00FE30D0">
        <w:rPr>
          <w:rFonts w:ascii="Times New Roman" w:hAnsi="Times New Roman"/>
          <w:sz w:val="20"/>
          <w:szCs w:val="20"/>
        </w:rPr>
        <w:tab/>
      </w:r>
      <w:r w:rsidRPr="00FE30D0">
        <w:rPr>
          <w:rFonts w:ascii="Times New Roman" w:hAnsi="Times New Roman"/>
          <w:sz w:val="20"/>
          <w:szCs w:val="20"/>
        </w:rPr>
        <w:tab/>
        <w:t xml:space="preserve"> -7     </w:t>
      </w:r>
      <w:r>
        <w:rPr>
          <w:rFonts w:ascii="Times New Roman" w:hAnsi="Times New Roman"/>
          <w:sz w:val="20"/>
          <w:szCs w:val="20"/>
        </w:rPr>
        <w:t xml:space="preserve">  </w:t>
      </w:r>
      <w:r w:rsidRPr="00FE30D0">
        <w:rPr>
          <w:rFonts w:ascii="Times New Roman" w:hAnsi="Times New Roman"/>
          <w:sz w:val="20"/>
          <w:szCs w:val="20"/>
        </w:rPr>
        <w:t>237</w:t>
      </w:r>
      <w:r w:rsidRPr="00FE30D0">
        <w:rPr>
          <w:rFonts w:ascii="Times New Roman" w:hAnsi="Times New Roman"/>
          <w:sz w:val="20"/>
          <w:szCs w:val="20"/>
        </w:rPr>
        <w:tab/>
      </w:r>
    </w:p>
    <w:p w:rsidR="00A063BB" w:rsidRDefault="00A063BB" w:rsidP="0052051C">
      <w:pPr>
        <w:spacing w:after="0"/>
        <w:rPr>
          <w:rFonts w:ascii="Times New Roman" w:hAnsi="Times New Roman"/>
          <w:sz w:val="20"/>
          <w:szCs w:val="20"/>
        </w:rPr>
      </w:pPr>
    </w:p>
    <w:p w:rsidR="00A063BB" w:rsidRPr="00E702C3" w:rsidRDefault="00A063BB" w:rsidP="0007519C">
      <w:pPr>
        <w:spacing w:after="0"/>
        <w:rPr>
          <w:rFonts w:ascii="Times New Roman" w:hAnsi="Times New Roman"/>
          <w:b/>
          <w:sz w:val="24"/>
          <w:szCs w:val="24"/>
        </w:rPr>
      </w:pPr>
      <w:r w:rsidRPr="00E702C3">
        <w:rPr>
          <w:rFonts w:ascii="Times New Roman" w:hAnsi="Times New Roman"/>
          <w:b/>
          <w:sz w:val="24"/>
          <w:szCs w:val="24"/>
        </w:rPr>
        <w:t>Gains in DC CAS Proficiency</w:t>
      </w:r>
    </w:p>
    <w:p w:rsidR="00A063BB" w:rsidRPr="00FE30D0" w:rsidRDefault="00A063BB" w:rsidP="0007519C">
      <w:pPr>
        <w:spacing w:after="0"/>
        <w:rPr>
          <w:rFonts w:ascii="Times New Roman" w:hAnsi="Times New Roman"/>
          <w:sz w:val="20"/>
          <w:szCs w:val="20"/>
        </w:rPr>
      </w:pPr>
      <w:r>
        <w:rPr>
          <w:rFonts w:ascii="Times New Roman" w:hAnsi="Times New Roman"/>
          <w:sz w:val="20"/>
          <w:szCs w:val="20"/>
        </w:rPr>
        <w:t>DC CAS: % Proficient</w:t>
      </w:r>
      <w:r>
        <w:rPr>
          <w:rFonts w:ascii="Times New Roman" w:hAnsi="Times New Roman"/>
          <w:sz w:val="20"/>
          <w:szCs w:val="20"/>
        </w:rPr>
        <w:tab/>
        <w:t>2009</w:t>
      </w:r>
      <w:r w:rsidRPr="00FE30D0">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rPr>
        <w:t xml:space="preserve">[2010 Predicted] </w:t>
      </w:r>
      <w:r>
        <w:rPr>
          <w:rFonts w:ascii="Times New Roman" w:hAnsi="Times New Roman"/>
          <w:sz w:val="20"/>
          <w:szCs w:val="20"/>
        </w:rPr>
        <w:t xml:space="preserve">   </w:t>
      </w:r>
      <w:r w:rsidRPr="00FE30D0">
        <w:rPr>
          <w:rFonts w:ascii="Times New Roman" w:hAnsi="Times New Roman"/>
          <w:sz w:val="20"/>
          <w:szCs w:val="20"/>
        </w:rPr>
        <w:t>[2010 Actual ]</w:t>
      </w:r>
      <w:r w:rsidRPr="00FE30D0">
        <w:rPr>
          <w:rFonts w:ascii="Times New Roman" w:hAnsi="Times New Roman"/>
          <w:sz w:val="20"/>
          <w:szCs w:val="20"/>
        </w:rPr>
        <w:tab/>
      </w:r>
      <w:r>
        <w:rPr>
          <w:rFonts w:ascii="Times New Roman" w:hAnsi="Times New Roman"/>
          <w:sz w:val="20"/>
          <w:szCs w:val="20"/>
        </w:rPr>
        <w:t xml:space="preserve">   </w:t>
      </w:r>
      <w:r w:rsidRPr="00FE30D0">
        <w:rPr>
          <w:rFonts w:ascii="Times New Roman" w:hAnsi="Times New Roman"/>
          <w:sz w:val="20"/>
          <w:szCs w:val="20"/>
        </w:rPr>
        <w:t xml:space="preserve">[2011 Predicted] </w:t>
      </w:r>
      <w:r>
        <w:rPr>
          <w:rFonts w:ascii="Times New Roman" w:hAnsi="Times New Roman"/>
          <w:sz w:val="20"/>
          <w:szCs w:val="20"/>
        </w:rPr>
        <w:t xml:space="preserve">  </w:t>
      </w:r>
      <w:r w:rsidRPr="00FE30D0">
        <w:rPr>
          <w:rFonts w:ascii="Times New Roman" w:hAnsi="Times New Roman"/>
          <w:sz w:val="20"/>
          <w:szCs w:val="20"/>
        </w:rPr>
        <w:t xml:space="preserve">[2011 </w:t>
      </w:r>
      <w:r>
        <w:rPr>
          <w:rFonts w:ascii="Times New Roman" w:hAnsi="Times New Roman"/>
          <w:sz w:val="20"/>
          <w:szCs w:val="20"/>
        </w:rPr>
        <w:t xml:space="preserve">  </w:t>
      </w:r>
      <w:r w:rsidRPr="00FE30D0">
        <w:rPr>
          <w:rFonts w:ascii="Times New Roman" w:hAnsi="Times New Roman"/>
          <w:sz w:val="20"/>
          <w:szCs w:val="20"/>
        </w:rPr>
        <w:t>Actual]</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FE30D0">
        <w:rPr>
          <w:rFonts w:ascii="Times New Roman" w:hAnsi="Times New Roman"/>
          <w:sz w:val="20"/>
          <w:szCs w:val="20"/>
        </w:rPr>
        <w:tab/>
      </w:r>
      <w:r w:rsidRPr="0054317B">
        <w:rPr>
          <w:rFonts w:ascii="Times New Roman" w:hAnsi="Times New Roman"/>
          <w:sz w:val="20"/>
          <w:szCs w:val="20"/>
          <w:u w:val="single"/>
        </w:rPr>
        <w:t>Score</w:t>
      </w:r>
      <w:r w:rsidRPr="00FE30D0">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u w:val="single"/>
        </w:rPr>
        <w:t>Gain</w:t>
      </w:r>
      <w:r w:rsidRPr="00FE30D0">
        <w:rPr>
          <w:rFonts w:ascii="Times New Roman" w:hAnsi="Times New Roman"/>
          <w:sz w:val="20"/>
          <w:szCs w:val="20"/>
        </w:rPr>
        <w:tab/>
        <w:t xml:space="preserve"> </w:t>
      </w:r>
      <w:r w:rsidRPr="00FE30D0">
        <w:rPr>
          <w:rFonts w:ascii="Times New Roman" w:hAnsi="Times New Roman"/>
          <w:sz w:val="20"/>
          <w:szCs w:val="20"/>
          <w:u w:val="single"/>
        </w:rPr>
        <w:t>Score</w:t>
      </w:r>
      <w:r w:rsidRPr="00FE30D0">
        <w:rPr>
          <w:rFonts w:ascii="Times New Roman" w:hAnsi="Times New Roman"/>
          <w:sz w:val="20"/>
          <w:szCs w:val="20"/>
        </w:rPr>
        <w:tab/>
        <w:t xml:space="preserve">     </w:t>
      </w:r>
      <w:r w:rsidRPr="00FE30D0">
        <w:rPr>
          <w:rFonts w:ascii="Times New Roman" w:hAnsi="Times New Roman"/>
          <w:sz w:val="20"/>
          <w:szCs w:val="20"/>
          <w:u w:val="single"/>
        </w:rPr>
        <w:t>Gain</w:t>
      </w:r>
      <w:r w:rsidRPr="00FE30D0">
        <w:rPr>
          <w:rFonts w:ascii="Times New Roman" w:hAnsi="Times New Roman"/>
          <w:sz w:val="20"/>
          <w:szCs w:val="20"/>
        </w:rPr>
        <w:t xml:space="preserve">  </w:t>
      </w:r>
      <w:r w:rsidRPr="00FE30D0">
        <w:rPr>
          <w:rFonts w:ascii="Times New Roman" w:hAnsi="Times New Roman"/>
          <w:sz w:val="20"/>
          <w:szCs w:val="20"/>
          <w:u w:val="single"/>
        </w:rPr>
        <w:t>Score</w:t>
      </w:r>
      <w:r w:rsidRPr="00FE30D0">
        <w:rPr>
          <w:rFonts w:ascii="Times New Roman" w:hAnsi="Times New Roman"/>
          <w:sz w:val="20"/>
          <w:szCs w:val="20"/>
        </w:rPr>
        <w:tab/>
        <w:t xml:space="preserve"> </w:t>
      </w:r>
      <w:r>
        <w:rPr>
          <w:rFonts w:ascii="Times New Roman" w:hAnsi="Times New Roman"/>
          <w:sz w:val="20"/>
          <w:szCs w:val="20"/>
        </w:rPr>
        <w:t xml:space="preserve">   </w:t>
      </w:r>
      <w:r w:rsidRPr="00FE30D0">
        <w:rPr>
          <w:rFonts w:ascii="Times New Roman" w:hAnsi="Times New Roman"/>
          <w:sz w:val="20"/>
          <w:szCs w:val="20"/>
          <w:u w:val="single"/>
        </w:rPr>
        <w:t>Gain</w:t>
      </w:r>
      <w:r w:rsidRPr="00FE30D0">
        <w:rPr>
          <w:rFonts w:ascii="Times New Roman" w:hAnsi="Times New Roman"/>
          <w:sz w:val="20"/>
          <w:szCs w:val="20"/>
        </w:rPr>
        <w:tab/>
      </w:r>
      <w:r>
        <w:rPr>
          <w:rFonts w:ascii="Times New Roman" w:hAnsi="Times New Roman"/>
          <w:sz w:val="20"/>
          <w:szCs w:val="20"/>
        </w:rPr>
        <w:t xml:space="preserve"> </w:t>
      </w:r>
      <w:r w:rsidRPr="00FE30D0">
        <w:rPr>
          <w:rFonts w:ascii="Times New Roman" w:hAnsi="Times New Roman"/>
          <w:sz w:val="20"/>
          <w:szCs w:val="20"/>
          <w:u w:val="single"/>
        </w:rPr>
        <w:t>Score</w:t>
      </w:r>
      <w:r w:rsidRPr="00FE30D0">
        <w:rPr>
          <w:rFonts w:ascii="Times New Roman" w:hAnsi="Times New Roman"/>
          <w:sz w:val="20"/>
          <w:szCs w:val="20"/>
        </w:rPr>
        <w:tab/>
        <w:t xml:space="preserve">     </w:t>
      </w:r>
      <w:r w:rsidRPr="00FE30D0">
        <w:rPr>
          <w:rFonts w:ascii="Times New Roman" w:hAnsi="Times New Roman"/>
          <w:sz w:val="20"/>
          <w:szCs w:val="20"/>
          <w:u w:val="single"/>
        </w:rPr>
        <w:t>Gain</w:t>
      </w:r>
      <w:r w:rsidRPr="00FE30D0">
        <w:rPr>
          <w:rFonts w:ascii="Times New Roman" w:hAnsi="Times New Roman"/>
          <w:sz w:val="20"/>
          <w:szCs w:val="20"/>
        </w:rPr>
        <w:t xml:space="preserve">  </w:t>
      </w:r>
      <w:r>
        <w:rPr>
          <w:rFonts w:ascii="Times New Roman" w:hAnsi="Times New Roman"/>
          <w:sz w:val="20"/>
          <w:szCs w:val="20"/>
        </w:rPr>
        <w:t xml:space="preserve">    </w:t>
      </w:r>
      <w:r w:rsidRPr="00FE30D0">
        <w:rPr>
          <w:rFonts w:ascii="Times New Roman" w:hAnsi="Times New Roman"/>
          <w:sz w:val="20"/>
          <w:szCs w:val="20"/>
          <w:u w:val="single"/>
        </w:rPr>
        <w:t>Score</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DC CAS Elem Math</w:t>
      </w:r>
      <w:r>
        <w:rPr>
          <w:rFonts w:ascii="Times New Roman" w:hAnsi="Times New Roman"/>
          <w:sz w:val="20"/>
          <w:szCs w:val="20"/>
        </w:rPr>
        <w:tab/>
      </w:r>
      <w:r>
        <w:rPr>
          <w:rFonts w:ascii="Times New Roman" w:hAnsi="Times New Roman"/>
          <w:sz w:val="20"/>
          <w:szCs w:val="20"/>
        </w:rPr>
        <w:tab/>
        <w:t>48.0%</w:t>
      </w:r>
      <w:r w:rsidRPr="00FE30D0">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rPr>
        <w:t>+5%</w:t>
      </w:r>
      <w:r w:rsidRPr="00FE30D0">
        <w:rPr>
          <w:rFonts w:ascii="Times New Roman" w:hAnsi="Times New Roman"/>
          <w:sz w:val="20"/>
          <w:szCs w:val="20"/>
        </w:rPr>
        <w:tab/>
        <w:t>53.0%</w:t>
      </w:r>
      <w:r w:rsidRPr="00FE30D0">
        <w:rPr>
          <w:rFonts w:ascii="Times New Roman" w:hAnsi="Times New Roman"/>
          <w:sz w:val="20"/>
          <w:szCs w:val="20"/>
        </w:rPr>
        <w:tab/>
        <w:t xml:space="preserve">    -4.8%  </w:t>
      </w:r>
      <w:r>
        <w:rPr>
          <w:rFonts w:ascii="Times New Roman" w:hAnsi="Times New Roman"/>
          <w:sz w:val="20"/>
          <w:szCs w:val="20"/>
        </w:rPr>
        <w:t xml:space="preserve"> 43.2%</w:t>
      </w:r>
      <w:r>
        <w:rPr>
          <w:rFonts w:ascii="Times New Roman" w:hAnsi="Times New Roman"/>
          <w:sz w:val="20"/>
          <w:szCs w:val="20"/>
        </w:rPr>
        <w:tab/>
        <w:t xml:space="preserve">    </w:t>
      </w:r>
      <w:r w:rsidRPr="00FE30D0">
        <w:rPr>
          <w:rFonts w:ascii="Times New Roman" w:hAnsi="Times New Roman"/>
          <w:sz w:val="20"/>
          <w:szCs w:val="20"/>
        </w:rPr>
        <w:t xml:space="preserve">+5%  </w:t>
      </w:r>
      <w:r>
        <w:rPr>
          <w:rFonts w:ascii="Times New Roman" w:hAnsi="Times New Roman"/>
          <w:sz w:val="20"/>
          <w:szCs w:val="20"/>
        </w:rPr>
        <w:t xml:space="preserve">  58.0%</w:t>
      </w:r>
      <w:r>
        <w:rPr>
          <w:rFonts w:ascii="Times New Roman" w:hAnsi="Times New Roman"/>
          <w:sz w:val="20"/>
          <w:szCs w:val="20"/>
        </w:rPr>
        <w:tab/>
        <w:t xml:space="preserve">     </w:t>
      </w:r>
      <w:r w:rsidRPr="00FE30D0">
        <w:rPr>
          <w:rFonts w:ascii="Times New Roman" w:hAnsi="Times New Roman"/>
          <w:sz w:val="20"/>
          <w:szCs w:val="20"/>
        </w:rPr>
        <w:t>-</w:t>
      </w:r>
      <w:r>
        <w:rPr>
          <w:rFonts w:ascii="Times New Roman" w:hAnsi="Times New Roman"/>
          <w:sz w:val="20"/>
          <w:szCs w:val="20"/>
        </w:rPr>
        <w:t>-0.9%   42.3%</w:t>
      </w:r>
      <w:r w:rsidRPr="00FE30D0">
        <w:rPr>
          <w:rFonts w:ascii="Times New Roman" w:hAnsi="Times New Roman"/>
          <w:sz w:val="20"/>
          <w:szCs w:val="20"/>
        </w:rPr>
        <w:tab/>
      </w:r>
      <w:r w:rsidRPr="00FE30D0">
        <w:rPr>
          <w:rFonts w:ascii="Times New Roman" w:hAnsi="Times New Roman"/>
          <w:sz w:val="20"/>
          <w:szCs w:val="20"/>
        </w:rPr>
        <w:tab/>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DC CAS Second Math</w:t>
      </w:r>
      <w:r>
        <w:rPr>
          <w:rFonts w:ascii="Times New Roman" w:hAnsi="Times New Roman"/>
          <w:sz w:val="20"/>
          <w:szCs w:val="20"/>
        </w:rPr>
        <w:tab/>
        <w:t>48.8%</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53.8%</w:t>
      </w:r>
      <w:r>
        <w:rPr>
          <w:rFonts w:ascii="Times New Roman" w:hAnsi="Times New Roman"/>
          <w:sz w:val="20"/>
          <w:szCs w:val="20"/>
        </w:rPr>
        <w:tab/>
        <w:t xml:space="preserve">    -5.0%</w:t>
      </w:r>
      <w:r>
        <w:rPr>
          <w:rFonts w:ascii="Times New Roman" w:hAnsi="Times New Roman"/>
          <w:sz w:val="20"/>
          <w:szCs w:val="20"/>
        </w:rPr>
        <w:tab/>
        <w:t xml:space="preserve">  43.8%</w:t>
      </w:r>
      <w:r>
        <w:rPr>
          <w:rFonts w:ascii="Times New Roman" w:hAnsi="Times New Roman"/>
          <w:sz w:val="20"/>
          <w:szCs w:val="20"/>
        </w:rPr>
        <w:tab/>
        <w:t xml:space="preserve">    +5%</w:t>
      </w:r>
      <w:r>
        <w:rPr>
          <w:rFonts w:ascii="Times New Roman" w:hAnsi="Times New Roman"/>
          <w:sz w:val="20"/>
          <w:szCs w:val="20"/>
        </w:rPr>
        <w:tab/>
        <w:t xml:space="preserve"> 58.8%</w:t>
      </w:r>
      <w:r>
        <w:rPr>
          <w:rFonts w:ascii="Times New Roman" w:hAnsi="Times New Roman"/>
          <w:sz w:val="20"/>
          <w:szCs w:val="20"/>
        </w:rPr>
        <w:tab/>
        <w:t xml:space="preserve">     +2.6%   46.4%</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DC CAS Elem Reading</w:t>
      </w:r>
      <w:r>
        <w:rPr>
          <w:rFonts w:ascii="Times New Roman" w:hAnsi="Times New Roman"/>
          <w:sz w:val="20"/>
          <w:szCs w:val="20"/>
        </w:rPr>
        <w:tab/>
        <w:t>39.6%</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44.6%</w:t>
      </w:r>
      <w:r>
        <w:rPr>
          <w:rFonts w:ascii="Times New Roman" w:hAnsi="Times New Roman"/>
          <w:sz w:val="20"/>
          <w:szCs w:val="20"/>
        </w:rPr>
        <w:tab/>
        <w:t xml:space="preserve">   +4.5%   44.1%</w:t>
      </w:r>
      <w:r>
        <w:rPr>
          <w:rFonts w:ascii="Times New Roman" w:hAnsi="Times New Roman"/>
          <w:sz w:val="20"/>
          <w:szCs w:val="20"/>
        </w:rPr>
        <w:tab/>
        <w:t xml:space="preserve">    +5%    49.6%</w:t>
      </w:r>
      <w:r>
        <w:rPr>
          <w:rFonts w:ascii="Times New Roman" w:hAnsi="Times New Roman"/>
          <w:sz w:val="20"/>
          <w:szCs w:val="20"/>
        </w:rPr>
        <w:tab/>
        <w:t xml:space="preserve">     -1.1%    43.0%</w:t>
      </w:r>
    </w:p>
    <w:p w:rsidR="00A063BB" w:rsidRPr="00FE30D0" w:rsidRDefault="00A063BB" w:rsidP="0052051C">
      <w:pPr>
        <w:spacing w:after="0"/>
        <w:rPr>
          <w:rFonts w:ascii="Times New Roman" w:hAnsi="Times New Roman"/>
          <w:sz w:val="20"/>
          <w:szCs w:val="20"/>
        </w:rPr>
      </w:pPr>
      <w:r w:rsidRPr="00FE30D0">
        <w:rPr>
          <w:rFonts w:ascii="Times New Roman" w:hAnsi="Times New Roman"/>
          <w:sz w:val="20"/>
          <w:szCs w:val="20"/>
        </w:rPr>
        <w:t xml:space="preserve">DC CAS Second </w:t>
      </w:r>
      <w:smartTag w:uri="urn:schemas-microsoft-com:office:smarttags" w:element="City">
        <w:r w:rsidRPr="00FE30D0">
          <w:rPr>
            <w:rFonts w:ascii="Times New Roman" w:hAnsi="Times New Roman"/>
            <w:sz w:val="20"/>
            <w:szCs w:val="20"/>
          </w:rPr>
          <w:t>Reading</w:t>
        </w:r>
      </w:smartTag>
      <w:r>
        <w:rPr>
          <w:rFonts w:ascii="Times New Roman" w:hAnsi="Times New Roman"/>
          <w:sz w:val="20"/>
          <w:szCs w:val="20"/>
        </w:rPr>
        <w:tab/>
        <w:t>40.5%</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45.5%</w:t>
      </w:r>
      <w:r>
        <w:rPr>
          <w:rFonts w:ascii="Times New Roman" w:hAnsi="Times New Roman"/>
          <w:sz w:val="20"/>
          <w:szCs w:val="20"/>
        </w:rPr>
        <w:tab/>
        <w:t xml:space="preserve">   +2.8%   43.3%</w:t>
      </w:r>
      <w:r>
        <w:rPr>
          <w:rFonts w:ascii="Times New Roman" w:hAnsi="Times New Roman"/>
          <w:sz w:val="20"/>
          <w:szCs w:val="20"/>
        </w:rPr>
        <w:tab/>
        <w:t xml:space="preserve">    +5%    50.5%</w:t>
      </w:r>
      <w:r>
        <w:rPr>
          <w:rFonts w:ascii="Times New Roman" w:hAnsi="Times New Roman"/>
          <w:sz w:val="20"/>
          <w:szCs w:val="20"/>
        </w:rPr>
        <w:tab/>
        <w:t xml:space="preserve">     +0.9%   44.2%</w:t>
      </w:r>
    </w:p>
    <w:p w:rsidR="00A063BB" w:rsidRDefault="00A063BB" w:rsidP="0052051C">
      <w:pPr>
        <w:spacing w:after="0"/>
        <w:rPr>
          <w:rFonts w:ascii="Times New Roman" w:hAnsi="Times New Roman"/>
          <w:sz w:val="24"/>
          <w:szCs w:val="24"/>
        </w:rPr>
      </w:pPr>
    </w:p>
    <w:p w:rsidR="00A063BB" w:rsidRPr="00E702C3" w:rsidRDefault="00A063BB" w:rsidP="0052051C">
      <w:pPr>
        <w:spacing w:after="0"/>
        <w:rPr>
          <w:rFonts w:ascii="Times New Roman" w:hAnsi="Times New Roman"/>
          <w:b/>
          <w:sz w:val="24"/>
          <w:szCs w:val="24"/>
        </w:rPr>
      </w:pPr>
      <w:r w:rsidRPr="00E702C3">
        <w:rPr>
          <w:rFonts w:ascii="Times New Roman" w:hAnsi="Times New Roman"/>
          <w:b/>
          <w:sz w:val="24"/>
          <w:szCs w:val="24"/>
        </w:rPr>
        <w:t>Closing the Black-White Achievement Gap</w:t>
      </w:r>
    </w:p>
    <w:p w:rsidR="00A063BB" w:rsidRPr="0007519C" w:rsidRDefault="00A063BB" w:rsidP="0052051C">
      <w:pPr>
        <w:spacing w:after="0"/>
        <w:rPr>
          <w:rFonts w:ascii="Times New Roman" w:hAnsi="Times New Roman"/>
          <w:sz w:val="20"/>
          <w:szCs w:val="20"/>
        </w:rPr>
      </w:pPr>
      <w:r w:rsidRPr="0007519C">
        <w:rPr>
          <w:rFonts w:ascii="Times New Roman" w:hAnsi="Times New Roman"/>
          <w:sz w:val="20"/>
          <w:szCs w:val="20"/>
        </w:rPr>
        <w:t>Closing the Achievement Gap</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rPr>
        <w:t xml:space="preserve">[2010 Predicted] </w:t>
      </w:r>
      <w:r>
        <w:rPr>
          <w:rFonts w:ascii="Times New Roman" w:hAnsi="Times New Roman"/>
          <w:sz w:val="20"/>
          <w:szCs w:val="20"/>
        </w:rPr>
        <w:t xml:space="preserve">   </w:t>
      </w:r>
      <w:r w:rsidRPr="00FE30D0">
        <w:rPr>
          <w:rFonts w:ascii="Times New Roman" w:hAnsi="Times New Roman"/>
          <w:sz w:val="20"/>
          <w:szCs w:val="20"/>
        </w:rPr>
        <w:t>[2010 Actual ]</w:t>
      </w:r>
      <w:r w:rsidRPr="00FE30D0">
        <w:rPr>
          <w:rFonts w:ascii="Times New Roman" w:hAnsi="Times New Roman"/>
          <w:sz w:val="20"/>
          <w:szCs w:val="20"/>
        </w:rPr>
        <w:tab/>
      </w:r>
      <w:r>
        <w:rPr>
          <w:rFonts w:ascii="Times New Roman" w:hAnsi="Times New Roman"/>
          <w:sz w:val="20"/>
          <w:szCs w:val="20"/>
        </w:rPr>
        <w:t xml:space="preserve">   </w:t>
      </w:r>
      <w:r w:rsidRPr="00FE30D0">
        <w:rPr>
          <w:rFonts w:ascii="Times New Roman" w:hAnsi="Times New Roman"/>
          <w:sz w:val="20"/>
          <w:szCs w:val="20"/>
        </w:rPr>
        <w:t xml:space="preserve">[2011 Predicted] </w:t>
      </w:r>
      <w:r>
        <w:rPr>
          <w:rFonts w:ascii="Times New Roman" w:hAnsi="Times New Roman"/>
          <w:sz w:val="20"/>
          <w:szCs w:val="20"/>
        </w:rPr>
        <w:t xml:space="preserve"> </w:t>
      </w:r>
      <w:r>
        <w:rPr>
          <w:rFonts w:ascii="Times New Roman" w:hAnsi="Times New Roman"/>
          <w:sz w:val="20"/>
          <w:szCs w:val="20"/>
        </w:rPr>
        <w:tab/>
      </w:r>
      <w:r w:rsidRPr="00FE30D0">
        <w:rPr>
          <w:rFonts w:ascii="Times New Roman" w:hAnsi="Times New Roman"/>
          <w:sz w:val="20"/>
          <w:szCs w:val="20"/>
        </w:rPr>
        <w:t>[2011</w:t>
      </w:r>
      <w:r>
        <w:rPr>
          <w:rFonts w:ascii="Times New Roman" w:hAnsi="Times New Roman"/>
          <w:sz w:val="20"/>
          <w:szCs w:val="20"/>
        </w:rPr>
        <w:t xml:space="preserve">   </w:t>
      </w:r>
      <w:r w:rsidRPr="00FE30D0">
        <w:rPr>
          <w:rFonts w:ascii="Times New Roman" w:hAnsi="Times New Roman"/>
          <w:sz w:val="20"/>
          <w:szCs w:val="20"/>
        </w:rPr>
        <w:t xml:space="preserve"> Actual]</w:t>
      </w:r>
    </w:p>
    <w:p w:rsidR="00A063BB" w:rsidRPr="00E05B54" w:rsidRDefault="00A063BB" w:rsidP="0052051C">
      <w:pPr>
        <w:spacing w:after="0"/>
        <w:rPr>
          <w:rFonts w:ascii="Times New Roman" w:hAnsi="Times New Roman"/>
          <w:sz w:val="20"/>
          <w:szCs w:val="20"/>
        </w:rPr>
      </w:pPr>
      <w:r w:rsidRPr="00DB7546">
        <w:rPr>
          <w:rFonts w:ascii="Times New Roman" w:hAnsi="Times New Roman"/>
          <w:sz w:val="20"/>
          <w:szCs w:val="20"/>
        </w:rPr>
        <w:t xml:space="preserve">White-Black </w:t>
      </w:r>
      <w:r w:rsidRPr="00DB7546">
        <w:rPr>
          <w:rFonts w:ascii="Times New Roman" w:hAnsi="Times New Roman"/>
          <w:sz w:val="20"/>
          <w:szCs w:val="20"/>
        </w:rPr>
        <w:tab/>
      </w:r>
      <w:r w:rsidRPr="0007519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7519C">
        <w:rPr>
          <w:rFonts w:ascii="Times New Roman" w:hAnsi="Times New Roman"/>
          <w:sz w:val="20"/>
          <w:szCs w:val="20"/>
          <w:u w:val="single"/>
        </w:rPr>
        <w:t>2009 Gap</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Pr>
          <w:rFonts w:ascii="Times New Roman" w:hAnsi="Times New Roman"/>
          <w:sz w:val="20"/>
          <w:szCs w:val="20"/>
        </w:rPr>
        <w:tab/>
      </w:r>
      <w:r w:rsidRPr="00E05B54">
        <w:rPr>
          <w:rFonts w:ascii="Times New Roman" w:hAnsi="Times New Roman"/>
          <w:sz w:val="20"/>
          <w:szCs w:val="20"/>
          <w:u w:val="single"/>
        </w:rPr>
        <w:t>Chng</w:t>
      </w:r>
      <w:r>
        <w:rPr>
          <w:rFonts w:ascii="Times New Roman" w:hAnsi="Times New Roman"/>
          <w:sz w:val="20"/>
          <w:szCs w:val="20"/>
        </w:rPr>
        <w:t xml:space="preserve">    </w:t>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t xml:space="preserve"> </w:t>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r>
    </w:p>
    <w:p w:rsidR="00A063BB" w:rsidRDefault="00A063BB" w:rsidP="0052051C">
      <w:pPr>
        <w:spacing w:after="0"/>
        <w:rPr>
          <w:rFonts w:ascii="Times New Roman" w:hAnsi="Times New Roman"/>
          <w:sz w:val="20"/>
          <w:szCs w:val="20"/>
        </w:rPr>
      </w:pPr>
      <w:r>
        <w:rPr>
          <w:rFonts w:ascii="Times New Roman" w:hAnsi="Times New Roman"/>
          <w:sz w:val="20"/>
          <w:szCs w:val="20"/>
        </w:rPr>
        <w:t>Elementary Math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46.9%</w:t>
      </w:r>
      <w:r>
        <w:rPr>
          <w:rFonts w:ascii="Times New Roman" w:hAnsi="Times New Roman"/>
          <w:sz w:val="20"/>
          <w:szCs w:val="20"/>
        </w:rPr>
        <w:tab/>
      </w:r>
      <w:r>
        <w:rPr>
          <w:rFonts w:ascii="Times New Roman" w:hAnsi="Times New Roman"/>
          <w:sz w:val="20"/>
          <w:szCs w:val="20"/>
        </w:rPr>
        <w:tab/>
        <w:t xml:space="preserve"> -5%</w:t>
      </w:r>
      <w:r>
        <w:rPr>
          <w:rFonts w:ascii="Times New Roman" w:hAnsi="Times New Roman"/>
          <w:sz w:val="20"/>
          <w:szCs w:val="20"/>
        </w:rPr>
        <w:tab/>
        <w:t>41.9%</w:t>
      </w:r>
      <w:r>
        <w:rPr>
          <w:rFonts w:ascii="Times New Roman" w:hAnsi="Times New Roman"/>
          <w:sz w:val="20"/>
          <w:szCs w:val="20"/>
        </w:rPr>
        <w:tab/>
        <w:t xml:space="preserve">   +4.3%   51.8%</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36.9%</w:t>
      </w:r>
      <w:r>
        <w:rPr>
          <w:rFonts w:ascii="Times New Roman" w:hAnsi="Times New Roman"/>
          <w:sz w:val="20"/>
          <w:szCs w:val="20"/>
        </w:rPr>
        <w:tab/>
        <w:t xml:space="preserve"> +4.0%</w:t>
      </w:r>
      <w:r>
        <w:rPr>
          <w:rFonts w:ascii="Times New Roman" w:hAnsi="Times New Roman"/>
          <w:sz w:val="20"/>
          <w:szCs w:val="20"/>
        </w:rPr>
        <w:tab/>
        <w:t xml:space="preserve"> 55.1%</w:t>
      </w:r>
    </w:p>
    <w:p w:rsidR="00A063BB" w:rsidRDefault="00A063BB" w:rsidP="0052051C">
      <w:pPr>
        <w:spacing w:after="0"/>
        <w:rPr>
          <w:rFonts w:ascii="Times New Roman" w:hAnsi="Times New Roman"/>
          <w:sz w:val="20"/>
          <w:szCs w:val="20"/>
        </w:rPr>
      </w:pPr>
      <w:r>
        <w:rPr>
          <w:rFonts w:ascii="Times New Roman" w:hAnsi="Times New Roman"/>
          <w:sz w:val="20"/>
          <w:szCs w:val="20"/>
        </w:rPr>
        <w:t>Secondary Math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49.7%</w:t>
      </w:r>
      <w:r>
        <w:rPr>
          <w:rFonts w:ascii="Times New Roman" w:hAnsi="Times New Roman"/>
          <w:sz w:val="20"/>
          <w:szCs w:val="20"/>
        </w:rPr>
        <w:tab/>
      </w:r>
      <w:r>
        <w:rPr>
          <w:rFonts w:ascii="Times New Roman" w:hAnsi="Times New Roman"/>
          <w:sz w:val="20"/>
          <w:szCs w:val="20"/>
        </w:rPr>
        <w:tab/>
        <w:t xml:space="preserve"> -5%</w:t>
      </w:r>
      <w:r>
        <w:rPr>
          <w:rFonts w:ascii="Times New Roman" w:hAnsi="Times New Roman"/>
          <w:sz w:val="20"/>
          <w:szCs w:val="20"/>
        </w:rPr>
        <w:tab/>
        <w:t>44.7%</w:t>
      </w:r>
      <w:r>
        <w:rPr>
          <w:rFonts w:ascii="Times New Roman" w:hAnsi="Times New Roman"/>
          <w:sz w:val="20"/>
          <w:szCs w:val="20"/>
        </w:rPr>
        <w:tab/>
        <w:t xml:space="preserve">   +1.7%   51.4%</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39.7%</w:t>
      </w:r>
      <w:r>
        <w:rPr>
          <w:rFonts w:ascii="Times New Roman" w:hAnsi="Times New Roman"/>
          <w:sz w:val="20"/>
          <w:szCs w:val="20"/>
        </w:rPr>
        <w:tab/>
        <w:t xml:space="preserve"> -2.2%</w:t>
      </w:r>
      <w:r>
        <w:rPr>
          <w:rFonts w:ascii="Times New Roman" w:hAnsi="Times New Roman"/>
          <w:sz w:val="20"/>
          <w:szCs w:val="20"/>
        </w:rPr>
        <w:tab/>
        <w:t xml:space="preserve"> 49.2%</w:t>
      </w:r>
    </w:p>
    <w:p w:rsidR="00A063BB" w:rsidRDefault="00A063BB" w:rsidP="0052051C">
      <w:pPr>
        <w:spacing w:after="0"/>
        <w:rPr>
          <w:rFonts w:ascii="Times New Roman" w:hAnsi="Times New Roman"/>
          <w:sz w:val="20"/>
          <w:szCs w:val="20"/>
        </w:rPr>
      </w:pPr>
      <w:r>
        <w:rPr>
          <w:rFonts w:ascii="Times New Roman" w:hAnsi="Times New Roman"/>
          <w:sz w:val="20"/>
          <w:szCs w:val="20"/>
        </w:rPr>
        <w:t>Elementary Reading</w:t>
      </w:r>
      <w:r>
        <w:rPr>
          <w:rFonts w:ascii="Times New Roman" w:hAnsi="Times New Roman"/>
          <w:sz w:val="20"/>
          <w:szCs w:val="20"/>
        </w:rPr>
        <w:tab/>
      </w:r>
      <w:r>
        <w:rPr>
          <w:rFonts w:ascii="Times New Roman" w:hAnsi="Times New Roman"/>
          <w:sz w:val="20"/>
          <w:szCs w:val="20"/>
        </w:rPr>
        <w:tab/>
        <w:t>46.7%</w:t>
      </w:r>
      <w:r>
        <w:rPr>
          <w:rFonts w:ascii="Times New Roman" w:hAnsi="Times New Roman"/>
          <w:sz w:val="20"/>
          <w:szCs w:val="20"/>
        </w:rPr>
        <w:tab/>
      </w:r>
      <w:r>
        <w:rPr>
          <w:rFonts w:ascii="Times New Roman" w:hAnsi="Times New Roman"/>
          <w:sz w:val="20"/>
          <w:szCs w:val="20"/>
        </w:rPr>
        <w:tab/>
        <w:t xml:space="preserve"> -5%</w:t>
      </w:r>
      <w:r>
        <w:rPr>
          <w:rFonts w:ascii="Times New Roman" w:hAnsi="Times New Roman"/>
          <w:sz w:val="20"/>
          <w:szCs w:val="20"/>
        </w:rPr>
        <w:tab/>
        <w:t>41.7%</w:t>
      </w:r>
      <w:r>
        <w:rPr>
          <w:rFonts w:ascii="Times New Roman" w:hAnsi="Times New Roman"/>
          <w:sz w:val="20"/>
          <w:szCs w:val="20"/>
        </w:rPr>
        <w:tab/>
        <w:t xml:space="preserve">   +3.3%   50.0%</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36.7%</w:t>
      </w:r>
      <w:r>
        <w:rPr>
          <w:rFonts w:ascii="Times New Roman" w:hAnsi="Times New Roman"/>
          <w:sz w:val="20"/>
          <w:szCs w:val="20"/>
        </w:rPr>
        <w:tab/>
        <w:t xml:space="preserve"> +3.9%</w:t>
      </w:r>
      <w:r>
        <w:rPr>
          <w:rFonts w:ascii="Times New Roman" w:hAnsi="Times New Roman"/>
          <w:sz w:val="20"/>
          <w:szCs w:val="20"/>
        </w:rPr>
        <w:tab/>
        <w:t xml:space="preserve"> 53.9%</w:t>
      </w:r>
    </w:p>
    <w:p w:rsidR="00A063BB" w:rsidRPr="0007519C" w:rsidRDefault="00A063BB" w:rsidP="0052051C">
      <w:pPr>
        <w:spacing w:after="0"/>
        <w:rPr>
          <w:rFonts w:ascii="Times New Roman" w:hAnsi="Times New Roman"/>
          <w:sz w:val="20"/>
          <w:szCs w:val="20"/>
        </w:rPr>
      </w:pPr>
      <w:r>
        <w:rPr>
          <w:rFonts w:ascii="Times New Roman" w:hAnsi="Times New Roman"/>
          <w:sz w:val="20"/>
          <w:szCs w:val="20"/>
        </w:rPr>
        <w:t>Secondary Reading</w:t>
      </w:r>
      <w:r>
        <w:rPr>
          <w:rFonts w:ascii="Times New Roman" w:hAnsi="Times New Roman"/>
          <w:sz w:val="20"/>
          <w:szCs w:val="20"/>
        </w:rPr>
        <w:tab/>
      </w:r>
      <w:r>
        <w:rPr>
          <w:rFonts w:ascii="Times New Roman" w:hAnsi="Times New Roman"/>
          <w:sz w:val="20"/>
          <w:szCs w:val="20"/>
        </w:rPr>
        <w:tab/>
        <w:t>53.2%</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r>
      <w:r>
        <w:rPr>
          <w:rFonts w:ascii="Times New Roman" w:hAnsi="Times New Roman"/>
          <w:sz w:val="20"/>
          <w:szCs w:val="20"/>
        </w:rPr>
        <w:tab/>
        <w:t>48.2%</w:t>
      </w:r>
      <w:r>
        <w:rPr>
          <w:rFonts w:ascii="Times New Roman" w:hAnsi="Times New Roman"/>
          <w:sz w:val="20"/>
          <w:szCs w:val="20"/>
        </w:rPr>
        <w:tab/>
        <w:t xml:space="preserve">   - 0.9%   52.3%</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43.2%</w:t>
      </w:r>
      <w:r>
        <w:rPr>
          <w:rFonts w:ascii="Times New Roman" w:hAnsi="Times New Roman"/>
          <w:sz w:val="20"/>
          <w:szCs w:val="20"/>
        </w:rPr>
        <w:tab/>
        <w:t xml:space="preserve"> -3.2%</w:t>
      </w:r>
      <w:r>
        <w:rPr>
          <w:rFonts w:ascii="Times New Roman" w:hAnsi="Times New Roman"/>
          <w:sz w:val="20"/>
          <w:szCs w:val="20"/>
        </w:rPr>
        <w:tab/>
        <w:t xml:space="preserve"> 49.1%</w:t>
      </w:r>
    </w:p>
    <w:p w:rsidR="00A063BB" w:rsidRDefault="00A063BB" w:rsidP="0052051C">
      <w:pPr>
        <w:spacing w:after="0"/>
        <w:rPr>
          <w:rFonts w:ascii="Times New Roman" w:hAnsi="Times New Roman"/>
          <w:sz w:val="20"/>
          <w:szCs w:val="20"/>
        </w:rPr>
      </w:pPr>
    </w:p>
    <w:p w:rsidR="00A063BB" w:rsidRPr="00E702C3" w:rsidRDefault="00A063BB" w:rsidP="0052051C">
      <w:pPr>
        <w:spacing w:after="0"/>
        <w:rPr>
          <w:rFonts w:ascii="Times New Roman" w:hAnsi="Times New Roman"/>
          <w:b/>
          <w:sz w:val="24"/>
          <w:szCs w:val="24"/>
        </w:rPr>
      </w:pPr>
      <w:r w:rsidRPr="00E702C3">
        <w:rPr>
          <w:rFonts w:ascii="Times New Roman" w:hAnsi="Times New Roman"/>
          <w:b/>
          <w:sz w:val="24"/>
          <w:szCs w:val="24"/>
        </w:rPr>
        <w:t>Closing the Hispanic-White Achievement Gap</w:t>
      </w:r>
    </w:p>
    <w:p w:rsidR="00A063BB" w:rsidRPr="0007519C" w:rsidRDefault="00A063BB" w:rsidP="00E05B54">
      <w:pPr>
        <w:spacing w:after="0"/>
        <w:rPr>
          <w:rFonts w:ascii="Times New Roman" w:hAnsi="Times New Roman"/>
          <w:sz w:val="20"/>
          <w:szCs w:val="20"/>
        </w:rPr>
      </w:pPr>
      <w:r w:rsidRPr="0007519C">
        <w:rPr>
          <w:rFonts w:ascii="Times New Roman" w:hAnsi="Times New Roman"/>
          <w:sz w:val="20"/>
          <w:szCs w:val="20"/>
        </w:rPr>
        <w:t>Closing the Achievement Gap</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rPr>
        <w:t xml:space="preserve">[2010 Predicted] </w:t>
      </w:r>
      <w:r>
        <w:rPr>
          <w:rFonts w:ascii="Times New Roman" w:hAnsi="Times New Roman"/>
          <w:sz w:val="20"/>
          <w:szCs w:val="20"/>
        </w:rPr>
        <w:t xml:space="preserve">   </w:t>
      </w:r>
      <w:r w:rsidRPr="00FE30D0">
        <w:rPr>
          <w:rFonts w:ascii="Times New Roman" w:hAnsi="Times New Roman"/>
          <w:sz w:val="20"/>
          <w:szCs w:val="20"/>
        </w:rPr>
        <w:t>[2010 Actual ]</w:t>
      </w:r>
      <w:r w:rsidRPr="00FE30D0">
        <w:rPr>
          <w:rFonts w:ascii="Times New Roman" w:hAnsi="Times New Roman"/>
          <w:sz w:val="20"/>
          <w:szCs w:val="20"/>
        </w:rPr>
        <w:tab/>
      </w:r>
      <w:r>
        <w:rPr>
          <w:rFonts w:ascii="Times New Roman" w:hAnsi="Times New Roman"/>
          <w:sz w:val="20"/>
          <w:szCs w:val="20"/>
        </w:rPr>
        <w:t xml:space="preserve">   </w:t>
      </w:r>
      <w:r w:rsidRPr="00FE30D0">
        <w:rPr>
          <w:rFonts w:ascii="Times New Roman" w:hAnsi="Times New Roman"/>
          <w:sz w:val="20"/>
          <w:szCs w:val="20"/>
        </w:rPr>
        <w:t xml:space="preserve">[2011 Predicted] </w:t>
      </w:r>
      <w:r>
        <w:rPr>
          <w:rFonts w:ascii="Times New Roman" w:hAnsi="Times New Roman"/>
          <w:sz w:val="20"/>
          <w:szCs w:val="20"/>
        </w:rPr>
        <w:tab/>
      </w:r>
      <w:r w:rsidRPr="00FE30D0">
        <w:rPr>
          <w:rFonts w:ascii="Times New Roman" w:hAnsi="Times New Roman"/>
          <w:sz w:val="20"/>
          <w:szCs w:val="20"/>
        </w:rPr>
        <w:t>[2011 Actual]</w:t>
      </w:r>
    </w:p>
    <w:p w:rsidR="00A063BB" w:rsidRDefault="00A063BB" w:rsidP="00E05B54">
      <w:pPr>
        <w:spacing w:after="0"/>
        <w:rPr>
          <w:rFonts w:ascii="Times New Roman" w:hAnsi="Times New Roman"/>
          <w:sz w:val="20"/>
          <w:szCs w:val="20"/>
        </w:rPr>
      </w:pPr>
      <w:r>
        <w:rPr>
          <w:rFonts w:ascii="Times New Roman" w:hAnsi="Times New Roman"/>
          <w:sz w:val="20"/>
          <w:szCs w:val="20"/>
        </w:rPr>
        <w:t>White-Hispanic</w:t>
      </w:r>
      <w:r w:rsidRPr="00DB7546">
        <w:rPr>
          <w:rFonts w:ascii="Times New Roman" w:hAnsi="Times New Roman"/>
          <w:sz w:val="20"/>
          <w:szCs w:val="20"/>
        </w:rPr>
        <w:t xml:space="preserve"> </w:t>
      </w:r>
      <w:r w:rsidRPr="0007519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7519C">
        <w:rPr>
          <w:rFonts w:ascii="Times New Roman" w:hAnsi="Times New Roman"/>
          <w:sz w:val="20"/>
          <w:szCs w:val="20"/>
          <w:u w:val="single"/>
        </w:rPr>
        <w:t>2009 Gap</w:t>
      </w:r>
      <w:r>
        <w:rPr>
          <w:rFonts w:ascii="Times New Roman" w:hAnsi="Times New Roman"/>
          <w:sz w:val="20"/>
          <w:szCs w:val="20"/>
        </w:rPr>
        <w:tab/>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Pr>
          <w:rFonts w:ascii="Times New Roman" w:hAnsi="Times New Roman"/>
          <w:sz w:val="20"/>
          <w:szCs w:val="20"/>
        </w:rPr>
        <w:tab/>
      </w:r>
      <w:r w:rsidRPr="00E05B54">
        <w:rPr>
          <w:rFonts w:ascii="Times New Roman" w:hAnsi="Times New Roman"/>
          <w:sz w:val="20"/>
          <w:szCs w:val="20"/>
          <w:u w:val="single"/>
        </w:rPr>
        <w:t>Chng</w:t>
      </w:r>
      <w:r>
        <w:rPr>
          <w:rFonts w:ascii="Times New Roman" w:hAnsi="Times New Roman"/>
          <w:sz w:val="20"/>
          <w:szCs w:val="20"/>
        </w:rPr>
        <w:t xml:space="preserve">    </w:t>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r>
      <w:r>
        <w:rPr>
          <w:rFonts w:ascii="Times New Roman" w:hAnsi="Times New Roman"/>
          <w:sz w:val="20"/>
          <w:szCs w:val="20"/>
        </w:rPr>
        <w:tab/>
      </w:r>
    </w:p>
    <w:p w:rsidR="00A063BB" w:rsidRDefault="00A063BB" w:rsidP="00E05B54">
      <w:pPr>
        <w:spacing w:after="0"/>
        <w:rPr>
          <w:rFonts w:ascii="Times New Roman" w:hAnsi="Times New Roman"/>
          <w:sz w:val="20"/>
          <w:szCs w:val="20"/>
        </w:rPr>
      </w:pPr>
      <w:r>
        <w:rPr>
          <w:rFonts w:ascii="Times New Roman" w:hAnsi="Times New Roman"/>
          <w:sz w:val="20"/>
          <w:szCs w:val="20"/>
        </w:rPr>
        <w:t>Elementary Math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34.8%</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r>
      <w:r>
        <w:rPr>
          <w:rFonts w:ascii="Times New Roman" w:hAnsi="Times New Roman"/>
          <w:sz w:val="20"/>
          <w:szCs w:val="20"/>
        </w:rPr>
        <w:tab/>
        <w:t>29.8%</w:t>
      </w:r>
      <w:r>
        <w:rPr>
          <w:rFonts w:ascii="Times New Roman" w:hAnsi="Times New Roman"/>
          <w:sz w:val="20"/>
          <w:szCs w:val="20"/>
        </w:rPr>
        <w:tab/>
        <w:t xml:space="preserve">  +4.5%</w:t>
      </w:r>
      <w:r>
        <w:rPr>
          <w:rFonts w:ascii="Times New Roman" w:hAnsi="Times New Roman"/>
          <w:sz w:val="20"/>
          <w:szCs w:val="20"/>
        </w:rPr>
        <w:tab/>
        <w:t>39.3%</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24.8%</w:t>
      </w:r>
      <w:r>
        <w:rPr>
          <w:rFonts w:ascii="Times New Roman" w:hAnsi="Times New Roman"/>
          <w:sz w:val="20"/>
          <w:szCs w:val="20"/>
        </w:rPr>
        <w:tab/>
        <w:t>-3.6%%</w:t>
      </w:r>
      <w:r>
        <w:rPr>
          <w:rFonts w:ascii="Times New Roman" w:hAnsi="Times New Roman"/>
          <w:sz w:val="20"/>
          <w:szCs w:val="20"/>
        </w:rPr>
        <w:tab/>
        <w:t>35.7%</w:t>
      </w:r>
    </w:p>
    <w:p w:rsidR="00A063BB" w:rsidRDefault="00A063BB" w:rsidP="00E05B54">
      <w:pPr>
        <w:spacing w:after="0"/>
        <w:rPr>
          <w:rFonts w:ascii="Times New Roman" w:hAnsi="Times New Roman"/>
          <w:sz w:val="20"/>
          <w:szCs w:val="20"/>
        </w:rPr>
      </w:pPr>
      <w:r>
        <w:rPr>
          <w:rFonts w:ascii="Times New Roman" w:hAnsi="Times New Roman"/>
          <w:sz w:val="20"/>
          <w:szCs w:val="20"/>
        </w:rPr>
        <w:t>Secondary Math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31.4%</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r>
      <w:r>
        <w:rPr>
          <w:rFonts w:ascii="Times New Roman" w:hAnsi="Times New Roman"/>
          <w:sz w:val="20"/>
          <w:szCs w:val="20"/>
        </w:rPr>
        <w:tab/>
        <w:t>26.4%</w:t>
      </w:r>
      <w:r>
        <w:rPr>
          <w:rFonts w:ascii="Times New Roman" w:hAnsi="Times New Roman"/>
          <w:sz w:val="20"/>
          <w:szCs w:val="20"/>
        </w:rPr>
        <w:tab/>
        <w:t xml:space="preserve">  +11.0</w:t>
      </w:r>
      <w:r>
        <w:rPr>
          <w:rFonts w:ascii="Times New Roman" w:hAnsi="Times New Roman"/>
          <w:sz w:val="20"/>
          <w:szCs w:val="20"/>
        </w:rPr>
        <w:tab/>
        <w:t>42.4%</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21.4%</w:t>
      </w:r>
      <w:r>
        <w:rPr>
          <w:rFonts w:ascii="Times New Roman" w:hAnsi="Times New Roman"/>
          <w:sz w:val="20"/>
          <w:szCs w:val="20"/>
        </w:rPr>
        <w:tab/>
      </w:r>
      <w:r w:rsidRPr="0072764B">
        <w:rPr>
          <w:rFonts w:ascii="Times New Roman" w:hAnsi="Times New Roman"/>
          <w:b/>
          <w:color w:val="0070C0"/>
          <w:sz w:val="20"/>
          <w:szCs w:val="20"/>
        </w:rPr>
        <w:t>-5.6%</w:t>
      </w:r>
      <w:r w:rsidRPr="0072764B">
        <w:rPr>
          <w:rFonts w:ascii="Times New Roman" w:hAnsi="Times New Roman"/>
          <w:b/>
          <w:color w:val="0070C0"/>
          <w:sz w:val="20"/>
          <w:szCs w:val="20"/>
        </w:rPr>
        <w:tab/>
      </w:r>
      <w:r w:rsidRPr="0072764B">
        <w:rPr>
          <w:rFonts w:ascii="Times New Roman" w:hAnsi="Times New Roman"/>
          <w:sz w:val="20"/>
          <w:szCs w:val="20"/>
        </w:rPr>
        <w:t>36.8%</w:t>
      </w:r>
    </w:p>
    <w:p w:rsidR="00A063BB" w:rsidRDefault="00A063BB" w:rsidP="00E05B54">
      <w:pPr>
        <w:spacing w:after="0"/>
        <w:rPr>
          <w:rFonts w:ascii="Times New Roman" w:hAnsi="Times New Roman"/>
          <w:sz w:val="20"/>
          <w:szCs w:val="20"/>
        </w:rPr>
      </w:pPr>
      <w:r>
        <w:rPr>
          <w:rFonts w:ascii="Times New Roman" w:hAnsi="Times New Roman"/>
          <w:sz w:val="20"/>
          <w:szCs w:val="20"/>
        </w:rPr>
        <w:t>Elementary Reading</w:t>
      </w:r>
      <w:r>
        <w:rPr>
          <w:rFonts w:ascii="Times New Roman" w:hAnsi="Times New Roman"/>
          <w:sz w:val="20"/>
          <w:szCs w:val="20"/>
        </w:rPr>
        <w:tab/>
      </w:r>
      <w:r>
        <w:rPr>
          <w:rFonts w:ascii="Times New Roman" w:hAnsi="Times New Roman"/>
          <w:sz w:val="20"/>
          <w:szCs w:val="20"/>
        </w:rPr>
        <w:tab/>
        <w:t>40.1%</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r>
      <w:r>
        <w:rPr>
          <w:rFonts w:ascii="Times New Roman" w:hAnsi="Times New Roman"/>
          <w:sz w:val="20"/>
          <w:szCs w:val="20"/>
        </w:rPr>
        <w:tab/>
        <w:t>35.1%</w:t>
      </w:r>
      <w:r>
        <w:rPr>
          <w:rFonts w:ascii="Times New Roman" w:hAnsi="Times New Roman"/>
          <w:sz w:val="20"/>
          <w:szCs w:val="20"/>
        </w:rPr>
        <w:tab/>
        <w:t xml:space="preserve">  +3.4%</w:t>
      </w:r>
      <w:r>
        <w:rPr>
          <w:rFonts w:ascii="Times New Roman" w:hAnsi="Times New Roman"/>
          <w:sz w:val="20"/>
          <w:szCs w:val="20"/>
        </w:rPr>
        <w:tab/>
        <w:t>43.5%</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30.1%</w:t>
      </w:r>
      <w:r>
        <w:rPr>
          <w:rFonts w:ascii="Times New Roman" w:hAnsi="Times New Roman"/>
          <w:sz w:val="20"/>
          <w:szCs w:val="20"/>
        </w:rPr>
        <w:tab/>
        <w:t>-0.7%</w:t>
      </w:r>
      <w:r>
        <w:rPr>
          <w:rFonts w:ascii="Times New Roman" w:hAnsi="Times New Roman"/>
          <w:sz w:val="20"/>
          <w:szCs w:val="20"/>
        </w:rPr>
        <w:tab/>
        <w:t>42.8%</w:t>
      </w:r>
    </w:p>
    <w:p w:rsidR="00A063BB" w:rsidRDefault="00A063BB" w:rsidP="00E05B54">
      <w:pPr>
        <w:spacing w:after="0"/>
        <w:rPr>
          <w:rFonts w:ascii="Times New Roman" w:hAnsi="Times New Roman"/>
          <w:sz w:val="20"/>
          <w:szCs w:val="20"/>
        </w:rPr>
      </w:pPr>
      <w:r>
        <w:rPr>
          <w:rFonts w:ascii="Times New Roman" w:hAnsi="Times New Roman"/>
          <w:sz w:val="20"/>
          <w:szCs w:val="20"/>
        </w:rPr>
        <w:t>Secondary Reading</w:t>
      </w:r>
      <w:r>
        <w:rPr>
          <w:rFonts w:ascii="Times New Roman" w:hAnsi="Times New Roman"/>
          <w:sz w:val="20"/>
          <w:szCs w:val="20"/>
        </w:rPr>
        <w:tab/>
      </w:r>
      <w:r>
        <w:rPr>
          <w:rFonts w:ascii="Times New Roman" w:hAnsi="Times New Roman"/>
          <w:sz w:val="20"/>
          <w:szCs w:val="20"/>
        </w:rPr>
        <w:tab/>
        <w:t>41.8%</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r>
      <w:r>
        <w:rPr>
          <w:rFonts w:ascii="Times New Roman" w:hAnsi="Times New Roman"/>
          <w:sz w:val="20"/>
          <w:szCs w:val="20"/>
        </w:rPr>
        <w:tab/>
        <w:t>36.8%</w:t>
      </w:r>
      <w:r>
        <w:rPr>
          <w:rFonts w:ascii="Times New Roman" w:hAnsi="Times New Roman"/>
          <w:sz w:val="20"/>
          <w:szCs w:val="20"/>
        </w:rPr>
        <w:tab/>
        <w:t xml:space="preserve">  +9.2%</w:t>
      </w:r>
      <w:r>
        <w:rPr>
          <w:rFonts w:ascii="Times New Roman" w:hAnsi="Times New Roman"/>
          <w:sz w:val="20"/>
          <w:szCs w:val="20"/>
        </w:rPr>
        <w:tab/>
        <w:t>51.0%</w:t>
      </w:r>
      <w:r>
        <w:rPr>
          <w:rFonts w:ascii="Times New Roman" w:hAnsi="Times New Roman"/>
          <w:sz w:val="20"/>
          <w:szCs w:val="20"/>
        </w:rPr>
        <w:tab/>
      </w:r>
      <w:r>
        <w:rPr>
          <w:rFonts w:ascii="Times New Roman" w:hAnsi="Times New Roman"/>
          <w:sz w:val="20"/>
          <w:szCs w:val="20"/>
        </w:rPr>
        <w:tab/>
        <w:t>-5%</w:t>
      </w:r>
      <w:r>
        <w:rPr>
          <w:rFonts w:ascii="Times New Roman" w:hAnsi="Times New Roman"/>
          <w:sz w:val="20"/>
          <w:szCs w:val="20"/>
        </w:rPr>
        <w:tab/>
        <w:t xml:space="preserve">     31.8%</w:t>
      </w:r>
      <w:r>
        <w:rPr>
          <w:rFonts w:ascii="Times New Roman" w:hAnsi="Times New Roman"/>
          <w:sz w:val="20"/>
          <w:szCs w:val="20"/>
        </w:rPr>
        <w:tab/>
      </w:r>
      <w:r w:rsidRPr="0072764B">
        <w:rPr>
          <w:rFonts w:ascii="Times New Roman" w:hAnsi="Times New Roman"/>
          <w:b/>
          <w:color w:val="0070C0"/>
          <w:sz w:val="20"/>
          <w:szCs w:val="20"/>
        </w:rPr>
        <w:t>-12.4%</w:t>
      </w:r>
      <w:r>
        <w:rPr>
          <w:rFonts w:ascii="Times New Roman" w:hAnsi="Times New Roman"/>
          <w:sz w:val="20"/>
          <w:szCs w:val="20"/>
        </w:rPr>
        <w:tab/>
        <w:t>38.6%</w:t>
      </w:r>
    </w:p>
    <w:p w:rsidR="00A063BB" w:rsidRDefault="00A063BB" w:rsidP="00E05B54">
      <w:pPr>
        <w:spacing w:after="0"/>
        <w:rPr>
          <w:rFonts w:ascii="Times New Roman" w:hAnsi="Times New Roman"/>
          <w:sz w:val="20"/>
          <w:szCs w:val="20"/>
        </w:rPr>
      </w:pPr>
    </w:p>
    <w:p w:rsidR="00A063BB" w:rsidRPr="00E702C3" w:rsidRDefault="00A063BB" w:rsidP="00E05B54">
      <w:pPr>
        <w:spacing w:after="0"/>
        <w:rPr>
          <w:rFonts w:ascii="Times New Roman" w:hAnsi="Times New Roman"/>
          <w:b/>
          <w:sz w:val="24"/>
          <w:szCs w:val="24"/>
        </w:rPr>
      </w:pPr>
      <w:r w:rsidRPr="00E702C3">
        <w:rPr>
          <w:rFonts w:ascii="Times New Roman" w:hAnsi="Times New Roman"/>
          <w:b/>
          <w:sz w:val="24"/>
          <w:szCs w:val="24"/>
        </w:rPr>
        <w:t>Closing the Non-Disadvantgaged-Disadvantaged Achievement Gap</w:t>
      </w:r>
    </w:p>
    <w:p w:rsidR="00A063BB" w:rsidRPr="0007519C" w:rsidRDefault="00A063BB" w:rsidP="0014391E">
      <w:pPr>
        <w:spacing w:after="0"/>
        <w:rPr>
          <w:rFonts w:ascii="Times New Roman" w:hAnsi="Times New Roman"/>
          <w:sz w:val="20"/>
          <w:szCs w:val="20"/>
        </w:rPr>
      </w:pPr>
      <w:r w:rsidRPr="0007519C">
        <w:rPr>
          <w:rFonts w:ascii="Times New Roman" w:hAnsi="Times New Roman"/>
          <w:sz w:val="20"/>
          <w:szCs w:val="20"/>
        </w:rPr>
        <w:t>Closing the Achievement Gap</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FE30D0">
        <w:rPr>
          <w:rFonts w:ascii="Times New Roman" w:hAnsi="Times New Roman"/>
          <w:sz w:val="20"/>
          <w:szCs w:val="20"/>
        </w:rPr>
        <w:t xml:space="preserve">[2010 Predicted] </w:t>
      </w:r>
      <w:r>
        <w:rPr>
          <w:rFonts w:ascii="Times New Roman" w:hAnsi="Times New Roman"/>
          <w:sz w:val="20"/>
          <w:szCs w:val="20"/>
        </w:rPr>
        <w:t xml:space="preserve">   </w:t>
      </w:r>
      <w:r w:rsidRPr="00FE30D0">
        <w:rPr>
          <w:rFonts w:ascii="Times New Roman" w:hAnsi="Times New Roman"/>
          <w:sz w:val="20"/>
          <w:szCs w:val="20"/>
        </w:rPr>
        <w:t>[2010 Actual ]</w:t>
      </w:r>
      <w:r w:rsidRPr="00FE30D0">
        <w:rPr>
          <w:rFonts w:ascii="Times New Roman" w:hAnsi="Times New Roman"/>
          <w:sz w:val="20"/>
          <w:szCs w:val="20"/>
        </w:rPr>
        <w:tab/>
      </w:r>
      <w:r>
        <w:rPr>
          <w:rFonts w:ascii="Times New Roman" w:hAnsi="Times New Roman"/>
          <w:sz w:val="20"/>
          <w:szCs w:val="20"/>
        </w:rPr>
        <w:t xml:space="preserve">     </w:t>
      </w:r>
      <w:r w:rsidRPr="00FE30D0">
        <w:rPr>
          <w:rFonts w:ascii="Times New Roman" w:hAnsi="Times New Roman"/>
          <w:sz w:val="20"/>
          <w:szCs w:val="20"/>
        </w:rPr>
        <w:t xml:space="preserve">[2011 Predicted] </w:t>
      </w:r>
      <w:r>
        <w:rPr>
          <w:rFonts w:ascii="Times New Roman" w:hAnsi="Times New Roman"/>
          <w:sz w:val="20"/>
          <w:szCs w:val="20"/>
        </w:rPr>
        <w:t xml:space="preserve"> </w:t>
      </w:r>
      <w:r>
        <w:rPr>
          <w:rFonts w:ascii="Times New Roman" w:hAnsi="Times New Roman"/>
          <w:sz w:val="20"/>
          <w:szCs w:val="20"/>
        </w:rPr>
        <w:tab/>
      </w:r>
      <w:r w:rsidRPr="00FE30D0">
        <w:rPr>
          <w:rFonts w:ascii="Times New Roman" w:hAnsi="Times New Roman"/>
          <w:sz w:val="20"/>
          <w:szCs w:val="20"/>
        </w:rPr>
        <w:t>[2011 Actual]</w:t>
      </w:r>
    </w:p>
    <w:p w:rsidR="00A063BB" w:rsidRPr="00E05B54" w:rsidRDefault="00A063BB" w:rsidP="0014391E">
      <w:pPr>
        <w:spacing w:after="0"/>
        <w:rPr>
          <w:rFonts w:ascii="Times New Roman" w:hAnsi="Times New Roman"/>
          <w:sz w:val="20"/>
          <w:szCs w:val="20"/>
        </w:rPr>
      </w:pPr>
      <w:r>
        <w:rPr>
          <w:rFonts w:ascii="Times New Roman" w:hAnsi="Times New Roman"/>
          <w:sz w:val="20"/>
          <w:szCs w:val="20"/>
        </w:rPr>
        <w:t>NonDisadv-Disadv</w:t>
      </w:r>
      <w:r>
        <w:rPr>
          <w:rFonts w:ascii="Times New Roman" w:hAnsi="Times New Roman"/>
          <w:sz w:val="20"/>
          <w:szCs w:val="20"/>
        </w:rPr>
        <w:tab/>
      </w:r>
      <w:r>
        <w:rPr>
          <w:rFonts w:ascii="Times New Roman" w:hAnsi="Times New Roman"/>
          <w:sz w:val="20"/>
          <w:szCs w:val="20"/>
        </w:rPr>
        <w:tab/>
      </w:r>
      <w:r w:rsidRPr="0007519C">
        <w:rPr>
          <w:rFonts w:ascii="Times New Roman" w:hAnsi="Times New Roman"/>
          <w:sz w:val="20"/>
          <w:szCs w:val="20"/>
          <w:u w:val="single"/>
        </w:rPr>
        <w:t>2009 Gap</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u w:val="single"/>
        </w:rPr>
        <w:t xml:space="preserve">   </w:t>
      </w:r>
      <w:r>
        <w:rPr>
          <w:rFonts w:ascii="Times New Roman" w:hAnsi="Times New Roman"/>
          <w:sz w:val="20"/>
          <w:szCs w:val="20"/>
        </w:rPr>
        <w:tab/>
        <w:t xml:space="preserve">   </w:t>
      </w:r>
      <w:r w:rsidRPr="00E05B54">
        <w:rPr>
          <w:rFonts w:ascii="Times New Roman" w:hAnsi="Times New Roman"/>
          <w:sz w:val="20"/>
          <w:szCs w:val="20"/>
          <w:u w:val="single"/>
        </w:rPr>
        <w:t>Chng</w:t>
      </w:r>
      <w:r>
        <w:rPr>
          <w:rFonts w:ascii="Times New Roman" w:hAnsi="Times New Roman"/>
          <w:sz w:val="20"/>
          <w:szCs w:val="20"/>
        </w:rPr>
        <w:tab/>
      </w:r>
      <w:r w:rsidRPr="00E05B54">
        <w:rPr>
          <w:rFonts w:ascii="Times New Roman" w:hAnsi="Times New Roman"/>
          <w:sz w:val="20"/>
          <w:szCs w:val="20"/>
          <w:u w:val="single"/>
        </w:rPr>
        <w:t>Gap</w:t>
      </w:r>
      <w:r>
        <w:rPr>
          <w:rFonts w:ascii="Times New Roman" w:hAnsi="Times New Roman"/>
          <w:sz w:val="20"/>
          <w:szCs w:val="20"/>
        </w:rPr>
        <w:tab/>
      </w:r>
    </w:p>
    <w:p w:rsidR="00A063BB" w:rsidRDefault="00A063BB" w:rsidP="00E5518F">
      <w:pPr>
        <w:spacing w:after="0"/>
        <w:rPr>
          <w:rFonts w:ascii="Times New Roman" w:hAnsi="Times New Roman"/>
          <w:sz w:val="20"/>
          <w:szCs w:val="20"/>
        </w:rPr>
      </w:pPr>
      <w:r>
        <w:rPr>
          <w:rFonts w:ascii="Times New Roman" w:hAnsi="Times New Roman"/>
          <w:sz w:val="20"/>
          <w:szCs w:val="20"/>
        </w:rPr>
        <w:t>Elementary Math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26.2%</w:t>
      </w:r>
      <w:r>
        <w:rPr>
          <w:rFonts w:ascii="Times New Roman" w:hAnsi="Times New Roman"/>
          <w:sz w:val="20"/>
          <w:szCs w:val="20"/>
        </w:rPr>
        <w:tab/>
      </w:r>
      <w:r>
        <w:rPr>
          <w:rFonts w:ascii="Times New Roman" w:hAnsi="Times New Roman"/>
          <w:sz w:val="20"/>
          <w:szCs w:val="20"/>
        </w:rPr>
        <w:tab/>
        <w:t xml:space="preserve"> -3.5%</w:t>
      </w:r>
      <w:r>
        <w:rPr>
          <w:rFonts w:ascii="Times New Roman" w:hAnsi="Times New Roman"/>
          <w:sz w:val="20"/>
          <w:szCs w:val="20"/>
        </w:rPr>
        <w:tab/>
        <w:t>22.7%</w:t>
      </w:r>
      <w:r>
        <w:rPr>
          <w:rFonts w:ascii="Times New Roman" w:hAnsi="Times New Roman"/>
          <w:sz w:val="20"/>
          <w:szCs w:val="20"/>
        </w:rPr>
        <w:tab/>
        <w:t xml:space="preserve">   +1.9%   28.1%</w:t>
      </w:r>
      <w:r>
        <w:rPr>
          <w:rFonts w:ascii="Times New Roman" w:hAnsi="Times New Roman"/>
          <w:sz w:val="20"/>
          <w:szCs w:val="20"/>
        </w:rPr>
        <w:tab/>
      </w:r>
      <w:r>
        <w:rPr>
          <w:rFonts w:ascii="Times New Roman" w:hAnsi="Times New Roman"/>
          <w:sz w:val="20"/>
          <w:szCs w:val="20"/>
        </w:rPr>
        <w:tab/>
        <w:t>-3.5%</w:t>
      </w:r>
      <w:r>
        <w:rPr>
          <w:rFonts w:ascii="Times New Roman" w:hAnsi="Times New Roman"/>
          <w:sz w:val="20"/>
          <w:szCs w:val="20"/>
        </w:rPr>
        <w:tab/>
        <w:t>19.2%</w:t>
      </w:r>
      <w:r>
        <w:rPr>
          <w:rFonts w:ascii="Times New Roman" w:hAnsi="Times New Roman"/>
          <w:sz w:val="20"/>
          <w:szCs w:val="20"/>
        </w:rPr>
        <w:tab/>
        <w:t xml:space="preserve"> -1.0%</w:t>
      </w:r>
      <w:r>
        <w:rPr>
          <w:rFonts w:ascii="Times New Roman" w:hAnsi="Times New Roman"/>
          <w:sz w:val="20"/>
          <w:szCs w:val="20"/>
        </w:rPr>
        <w:tab/>
        <w:t>27.1%</w:t>
      </w:r>
    </w:p>
    <w:p w:rsidR="00A063BB" w:rsidRDefault="00A063BB" w:rsidP="00E5518F">
      <w:pPr>
        <w:spacing w:after="0"/>
        <w:rPr>
          <w:rFonts w:ascii="Times New Roman" w:hAnsi="Times New Roman"/>
          <w:sz w:val="20"/>
          <w:szCs w:val="20"/>
        </w:rPr>
      </w:pPr>
      <w:r>
        <w:rPr>
          <w:rFonts w:ascii="Times New Roman" w:hAnsi="Times New Roman"/>
          <w:sz w:val="20"/>
          <w:szCs w:val="20"/>
        </w:rPr>
        <w:t>Secondary Math</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21.6%</w:t>
      </w:r>
      <w:r>
        <w:rPr>
          <w:rFonts w:ascii="Times New Roman" w:hAnsi="Times New Roman"/>
          <w:sz w:val="20"/>
          <w:szCs w:val="20"/>
        </w:rPr>
        <w:tab/>
      </w:r>
      <w:r>
        <w:rPr>
          <w:rFonts w:ascii="Times New Roman" w:hAnsi="Times New Roman"/>
          <w:sz w:val="20"/>
          <w:szCs w:val="20"/>
        </w:rPr>
        <w:tab/>
        <w:t xml:space="preserve"> -3.5%</w:t>
      </w:r>
      <w:r>
        <w:rPr>
          <w:rFonts w:ascii="Times New Roman" w:hAnsi="Times New Roman"/>
          <w:sz w:val="20"/>
          <w:szCs w:val="20"/>
        </w:rPr>
        <w:tab/>
        <w:t>18.1%</w:t>
      </w:r>
      <w:r>
        <w:rPr>
          <w:rFonts w:ascii="Times New Roman" w:hAnsi="Times New Roman"/>
          <w:sz w:val="20"/>
          <w:szCs w:val="20"/>
        </w:rPr>
        <w:tab/>
        <w:t xml:space="preserve">   +3.5%   25.1%</w:t>
      </w:r>
      <w:r>
        <w:rPr>
          <w:rFonts w:ascii="Times New Roman" w:hAnsi="Times New Roman"/>
          <w:sz w:val="20"/>
          <w:szCs w:val="20"/>
        </w:rPr>
        <w:tab/>
      </w:r>
      <w:r>
        <w:rPr>
          <w:rFonts w:ascii="Times New Roman" w:hAnsi="Times New Roman"/>
          <w:sz w:val="20"/>
          <w:szCs w:val="20"/>
        </w:rPr>
        <w:tab/>
        <w:t>-3.5%</w:t>
      </w:r>
      <w:r>
        <w:rPr>
          <w:rFonts w:ascii="Times New Roman" w:hAnsi="Times New Roman"/>
          <w:sz w:val="20"/>
          <w:szCs w:val="20"/>
        </w:rPr>
        <w:tab/>
        <w:t>14.6%</w:t>
      </w:r>
      <w:r>
        <w:rPr>
          <w:rFonts w:ascii="Times New Roman" w:hAnsi="Times New Roman"/>
          <w:sz w:val="20"/>
          <w:szCs w:val="20"/>
        </w:rPr>
        <w:tab/>
        <w:t xml:space="preserve"> -2.6%</w:t>
      </w:r>
      <w:r>
        <w:rPr>
          <w:rFonts w:ascii="Times New Roman" w:hAnsi="Times New Roman"/>
          <w:sz w:val="20"/>
          <w:szCs w:val="20"/>
        </w:rPr>
        <w:tab/>
        <w:t>22.5%</w:t>
      </w:r>
    </w:p>
    <w:p w:rsidR="00A063BB" w:rsidRDefault="00A063BB" w:rsidP="00E5518F">
      <w:pPr>
        <w:spacing w:after="0"/>
        <w:rPr>
          <w:rFonts w:ascii="Times New Roman" w:hAnsi="Times New Roman"/>
          <w:sz w:val="20"/>
          <w:szCs w:val="20"/>
        </w:rPr>
      </w:pPr>
      <w:r>
        <w:rPr>
          <w:rFonts w:ascii="Times New Roman" w:hAnsi="Times New Roman"/>
          <w:sz w:val="20"/>
          <w:szCs w:val="20"/>
        </w:rPr>
        <w:t>Elementary Reading</w:t>
      </w:r>
      <w:r>
        <w:rPr>
          <w:rFonts w:ascii="Times New Roman" w:hAnsi="Times New Roman"/>
          <w:sz w:val="20"/>
          <w:szCs w:val="20"/>
        </w:rPr>
        <w:tab/>
      </w:r>
      <w:r>
        <w:rPr>
          <w:rFonts w:ascii="Times New Roman" w:hAnsi="Times New Roman"/>
          <w:sz w:val="20"/>
          <w:szCs w:val="20"/>
        </w:rPr>
        <w:tab/>
        <w:t>28.2%</w:t>
      </w:r>
      <w:r>
        <w:rPr>
          <w:rFonts w:ascii="Times New Roman" w:hAnsi="Times New Roman"/>
          <w:sz w:val="20"/>
          <w:szCs w:val="20"/>
        </w:rPr>
        <w:tab/>
      </w:r>
      <w:r>
        <w:rPr>
          <w:rFonts w:ascii="Times New Roman" w:hAnsi="Times New Roman"/>
          <w:sz w:val="20"/>
          <w:szCs w:val="20"/>
        </w:rPr>
        <w:tab/>
        <w:t xml:space="preserve"> -3.5%</w:t>
      </w:r>
      <w:r>
        <w:rPr>
          <w:rFonts w:ascii="Times New Roman" w:hAnsi="Times New Roman"/>
          <w:sz w:val="20"/>
          <w:szCs w:val="20"/>
        </w:rPr>
        <w:tab/>
        <w:t>24.7%</w:t>
      </w:r>
      <w:r>
        <w:rPr>
          <w:rFonts w:ascii="Times New Roman" w:hAnsi="Times New Roman"/>
          <w:sz w:val="20"/>
          <w:szCs w:val="20"/>
        </w:rPr>
        <w:tab/>
        <w:t xml:space="preserve">   +2.9%   31.1%</w:t>
      </w:r>
      <w:r>
        <w:rPr>
          <w:rFonts w:ascii="Times New Roman" w:hAnsi="Times New Roman"/>
          <w:sz w:val="20"/>
          <w:szCs w:val="20"/>
        </w:rPr>
        <w:tab/>
      </w:r>
      <w:r>
        <w:rPr>
          <w:rFonts w:ascii="Times New Roman" w:hAnsi="Times New Roman"/>
          <w:sz w:val="20"/>
          <w:szCs w:val="20"/>
        </w:rPr>
        <w:tab/>
        <w:t>-3.5%</w:t>
      </w:r>
      <w:r>
        <w:rPr>
          <w:rFonts w:ascii="Times New Roman" w:hAnsi="Times New Roman"/>
          <w:sz w:val="20"/>
          <w:szCs w:val="20"/>
        </w:rPr>
        <w:tab/>
        <w:t>21.2%</w:t>
      </w:r>
      <w:r>
        <w:rPr>
          <w:rFonts w:ascii="Times New Roman" w:hAnsi="Times New Roman"/>
          <w:sz w:val="20"/>
          <w:szCs w:val="20"/>
        </w:rPr>
        <w:tab/>
        <w:t xml:space="preserve"> -2.1%</w:t>
      </w:r>
      <w:r>
        <w:rPr>
          <w:rFonts w:ascii="Times New Roman" w:hAnsi="Times New Roman"/>
          <w:sz w:val="20"/>
          <w:szCs w:val="20"/>
        </w:rPr>
        <w:tab/>
        <w:t>29.0%</w:t>
      </w:r>
    </w:p>
    <w:p w:rsidR="00A063BB" w:rsidRPr="0007519C" w:rsidRDefault="00A063BB" w:rsidP="00E5518F">
      <w:pPr>
        <w:spacing w:after="0"/>
        <w:rPr>
          <w:rFonts w:ascii="Times New Roman" w:hAnsi="Times New Roman"/>
          <w:sz w:val="20"/>
          <w:szCs w:val="20"/>
        </w:rPr>
      </w:pPr>
      <w:r>
        <w:rPr>
          <w:rFonts w:ascii="Times New Roman" w:hAnsi="Times New Roman"/>
          <w:sz w:val="20"/>
          <w:szCs w:val="20"/>
        </w:rPr>
        <w:t>Secondary Reading</w:t>
      </w:r>
      <w:r>
        <w:rPr>
          <w:rFonts w:ascii="Times New Roman" w:hAnsi="Times New Roman"/>
          <w:sz w:val="20"/>
          <w:szCs w:val="20"/>
        </w:rPr>
        <w:tab/>
      </w:r>
      <w:r>
        <w:rPr>
          <w:rFonts w:ascii="Times New Roman" w:hAnsi="Times New Roman"/>
          <w:sz w:val="20"/>
          <w:szCs w:val="20"/>
        </w:rPr>
        <w:tab/>
        <w:t>25.3%</w:t>
      </w:r>
      <w:r>
        <w:rPr>
          <w:rFonts w:ascii="Times New Roman" w:hAnsi="Times New Roman"/>
          <w:sz w:val="20"/>
          <w:szCs w:val="20"/>
        </w:rPr>
        <w:tab/>
      </w:r>
      <w:r>
        <w:rPr>
          <w:rFonts w:ascii="Times New Roman" w:hAnsi="Times New Roman"/>
          <w:sz w:val="20"/>
          <w:szCs w:val="20"/>
        </w:rPr>
        <w:tab/>
        <w:t>-3.5%</w:t>
      </w:r>
      <w:r>
        <w:rPr>
          <w:rFonts w:ascii="Times New Roman" w:hAnsi="Times New Roman"/>
          <w:sz w:val="20"/>
          <w:szCs w:val="20"/>
        </w:rPr>
        <w:tab/>
        <w:t>21.8%</w:t>
      </w:r>
      <w:r>
        <w:rPr>
          <w:rFonts w:ascii="Times New Roman" w:hAnsi="Times New Roman"/>
          <w:sz w:val="20"/>
          <w:szCs w:val="20"/>
        </w:rPr>
        <w:tab/>
        <w:t xml:space="preserve">   +2.6%   27.9%</w:t>
      </w:r>
      <w:r>
        <w:rPr>
          <w:rFonts w:ascii="Times New Roman" w:hAnsi="Times New Roman"/>
          <w:sz w:val="20"/>
          <w:szCs w:val="20"/>
        </w:rPr>
        <w:tab/>
      </w:r>
      <w:r>
        <w:rPr>
          <w:rFonts w:ascii="Times New Roman" w:hAnsi="Times New Roman"/>
          <w:sz w:val="20"/>
          <w:szCs w:val="20"/>
        </w:rPr>
        <w:tab/>
        <w:t>-3.5%</w:t>
      </w:r>
      <w:r>
        <w:rPr>
          <w:rFonts w:ascii="Times New Roman" w:hAnsi="Times New Roman"/>
          <w:sz w:val="20"/>
          <w:szCs w:val="20"/>
        </w:rPr>
        <w:tab/>
        <w:t>18.3%</w:t>
      </w:r>
      <w:r>
        <w:rPr>
          <w:rFonts w:ascii="Times New Roman" w:hAnsi="Times New Roman"/>
          <w:sz w:val="20"/>
          <w:szCs w:val="20"/>
        </w:rPr>
        <w:tab/>
        <w:t xml:space="preserve"> -2.0%</w:t>
      </w:r>
      <w:r>
        <w:rPr>
          <w:rFonts w:ascii="Times New Roman" w:hAnsi="Times New Roman"/>
          <w:sz w:val="20"/>
          <w:szCs w:val="20"/>
        </w:rPr>
        <w:tab/>
        <w:t>25.9%</w:t>
      </w:r>
    </w:p>
    <w:p w:rsidR="00A063BB" w:rsidRPr="0007519C" w:rsidRDefault="00A063BB" w:rsidP="00E05B54">
      <w:pPr>
        <w:spacing w:after="0"/>
        <w:rPr>
          <w:rFonts w:ascii="Times New Roman" w:hAnsi="Times New Roman"/>
          <w:sz w:val="20"/>
          <w:szCs w:val="20"/>
        </w:rPr>
      </w:pPr>
    </w:p>
    <w:p w:rsidR="00A063BB" w:rsidRPr="0007519C" w:rsidRDefault="00A063BB" w:rsidP="0052051C">
      <w:pPr>
        <w:spacing w:after="0"/>
        <w:rPr>
          <w:rFonts w:ascii="Times New Roman" w:hAnsi="Times New Roman"/>
          <w:sz w:val="20"/>
          <w:szCs w:val="20"/>
        </w:rPr>
      </w:pPr>
    </w:p>
    <w:p w:rsidR="00A063BB" w:rsidRDefault="00A063BB" w:rsidP="00DD01AD">
      <w:pPr>
        <w:spacing w:after="0"/>
      </w:pPr>
      <w:r>
        <w:rPr>
          <w:rFonts w:ascii="Times New Roman" w:hAnsi="Times New Roman"/>
          <w:sz w:val="24"/>
          <w:szCs w:val="24"/>
        </w:rPr>
        <w:t>The “predicted gains” were taken from DC’s Race to the Top application that was submitted to the U.S. Department of Education.  They are listed on p.22 of the documents submitted by DCPEF President Cate Swinburn to DC Chief Financial Officer Natwar Gandhi on April 6, 2010.  See:</w:t>
      </w:r>
      <w:r>
        <w:t xml:space="preserve"> </w:t>
      </w:r>
    </w:p>
    <w:p w:rsidR="00A063BB" w:rsidRPr="0055671B" w:rsidRDefault="00A063BB" w:rsidP="007F7E49">
      <w:pPr>
        <w:spacing w:after="0"/>
        <w:rPr>
          <w:rFonts w:ascii="Times New Roman" w:hAnsi="Times New Roman"/>
          <w:sz w:val="24"/>
          <w:szCs w:val="24"/>
        </w:rPr>
      </w:pPr>
      <w:hyperlink r:id="rId6" w:history="1">
        <w:r w:rsidRPr="0055671B">
          <w:rPr>
            <w:rStyle w:val="Hyperlink"/>
            <w:rFonts w:ascii="Arial" w:hAnsi="Arial" w:cs="Arial"/>
            <w:sz w:val="24"/>
            <w:szCs w:val="24"/>
          </w:rPr>
          <w:t>http://npe.educationnews.org/Review/Resources/DCPEFtoDCPS.pdf</w:t>
        </w:r>
      </w:hyperlink>
    </w:p>
    <w:p w:rsidR="00A063BB" w:rsidRDefault="00A063BB" w:rsidP="0052051C">
      <w:pPr>
        <w:spacing w:after="0"/>
        <w:rPr>
          <w:rFonts w:ascii="Times New Roman" w:hAnsi="Times New Roman"/>
          <w:sz w:val="24"/>
          <w:szCs w:val="24"/>
        </w:rPr>
      </w:pPr>
    </w:p>
    <w:p w:rsidR="00A063BB" w:rsidRDefault="00A063BB" w:rsidP="0052051C">
      <w:pPr>
        <w:spacing w:after="0"/>
        <w:rPr>
          <w:rFonts w:ascii="Times New Roman" w:hAnsi="Times New Roman"/>
          <w:sz w:val="24"/>
          <w:szCs w:val="24"/>
        </w:rPr>
      </w:pPr>
    </w:p>
    <w:p w:rsidR="00A063BB" w:rsidRPr="006F4A70" w:rsidRDefault="00A063BB" w:rsidP="0052051C">
      <w:pPr>
        <w:spacing w:after="0"/>
        <w:rPr>
          <w:rFonts w:ascii="Times New Roman" w:hAnsi="Times New Roman"/>
          <w:sz w:val="28"/>
          <w:szCs w:val="28"/>
        </w:rPr>
      </w:pPr>
    </w:p>
    <w:sectPr w:rsidR="00A063BB" w:rsidRPr="006F4A70" w:rsidSect="00E5518F">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12874"/>
    <w:multiLevelType w:val="hybridMultilevel"/>
    <w:tmpl w:val="3056B04E"/>
    <w:lvl w:ilvl="0" w:tplc="4E347BE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36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0925"/>
    <w:rsid w:val="000021E7"/>
    <w:rsid w:val="000042B8"/>
    <w:rsid w:val="00026419"/>
    <w:rsid w:val="000314CD"/>
    <w:rsid w:val="00037A7D"/>
    <w:rsid w:val="00042CE9"/>
    <w:rsid w:val="00062500"/>
    <w:rsid w:val="00063402"/>
    <w:rsid w:val="00066DEA"/>
    <w:rsid w:val="0007519C"/>
    <w:rsid w:val="0009404C"/>
    <w:rsid w:val="000947B0"/>
    <w:rsid w:val="00097976"/>
    <w:rsid w:val="000A31BA"/>
    <w:rsid w:val="000B64B3"/>
    <w:rsid w:val="000B65A9"/>
    <w:rsid w:val="000B7C34"/>
    <w:rsid w:val="000C3146"/>
    <w:rsid w:val="000C42FC"/>
    <w:rsid w:val="000E2477"/>
    <w:rsid w:val="00101EB5"/>
    <w:rsid w:val="00105069"/>
    <w:rsid w:val="00111181"/>
    <w:rsid w:val="0014391E"/>
    <w:rsid w:val="00154BE7"/>
    <w:rsid w:val="00165EB1"/>
    <w:rsid w:val="00166846"/>
    <w:rsid w:val="00180852"/>
    <w:rsid w:val="00191135"/>
    <w:rsid w:val="001E560E"/>
    <w:rsid w:val="001E7981"/>
    <w:rsid w:val="00201B24"/>
    <w:rsid w:val="0020778D"/>
    <w:rsid w:val="00242806"/>
    <w:rsid w:val="00254584"/>
    <w:rsid w:val="00264007"/>
    <w:rsid w:val="002D6AFF"/>
    <w:rsid w:val="002E1CA1"/>
    <w:rsid w:val="00301EC5"/>
    <w:rsid w:val="00303365"/>
    <w:rsid w:val="0031245C"/>
    <w:rsid w:val="0031257D"/>
    <w:rsid w:val="00322F58"/>
    <w:rsid w:val="003521F0"/>
    <w:rsid w:val="00380E77"/>
    <w:rsid w:val="00390E66"/>
    <w:rsid w:val="003923C2"/>
    <w:rsid w:val="003A1BC9"/>
    <w:rsid w:val="003E404B"/>
    <w:rsid w:val="003F63E3"/>
    <w:rsid w:val="00424CDC"/>
    <w:rsid w:val="00463C6D"/>
    <w:rsid w:val="004822FF"/>
    <w:rsid w:val="0049331E"/>
    <w:rsid w:val="004B4BB6"/>
    <w:rsid w:val="004C5E88"/>
    <w:rsid w:val="004E7812"/>
    <w:rsid w:val="004F4BAB"/>
    <w:rsid w:val="0052051C"/>
    <w:rsid w:val="00523B56"/>
    <w:rsid w:val="005404AB"/>
    <w:rsid w:val="0054317B"/>
    <w:rsid w:val="0055671B"/>
    <w:rsid w:val="00573455"/>
    <w:rsid w:val="00597827"/>
    <w:rsid w:val="005A36F0"/>
    <w:rsid w:val="005A3B48"/>
    <w:rsid w:val="005B5318"/>
    <w:rsid w:val="005D632F"/>
    <w:rsid w:val="00642037"/>
    <w:rsid w:val="00666815"/>
    <w:rsid w:val="00682BB1"/>
    <w:rsid w:val="0069105C"/>
    <w:rsid w:val="00691571"/>
    <w:rsid w:val="006A0F93"/>
    <w:rsid w:val="006A657F"/>
    <w:rsid w:val="006B6CD1"/>
    <w:rsid w:val="006B7298"/>
    <w:rsid w:val="006C45C5"/>
    <w:rsid w:val="006F36C4"/>
    <w:rsid w:val="006F4A70"/>
    <w:rsid w:val="0072590A"/>
    <w:rsid w:val="0072764B"/>
    <w:rsid w:val="00745006"/>
    <w:rsid w:val="00750C1C"/>
    <w:rsid w:val="00791018"/>
    <w:rsid w:val="00792860"/>
    <w:rsid w:val="007F3B5A"/>
    <w:rsid w:val="007F4ABD"/>
    <w:rsid w:val="007F7E49"/>
    <w:rsid w:val="0080289A"/>
    <w:rsid w:val="00860330"/>
    <w:rsid w:val="00902C99"/>
    <w:rsid w:val="0091142A"/>
    <w:rsid w:val="009B1945"/>
    <w:rsid w:val="00A063BB"/>
    <w:rsid w:val="00A10048"/>
    <w:rsid w:val="00A21282"/>
    <w:rsid w:val="00AC726C"/>
    <w:rsid w:val="00AD051B"/>
    <w:rsid w:val="00AE2008"/>
    <w:rsid w:val="00B0498A"/>
    <w:rsid w:val="00B35E0A"/>
    <w:rsid w:val="00B410D5"/>
    <w:rsid w:val="00B41CAF"/>
    <w:rsid w:val="00B46C68"/>
    <w:rsid w:val="00B97858"/>
    <w:rsid w:val="00BA0925"/>
    <w:rsid w:val="00BA57B0"/>
    <w:rsid w:val="00BB20E0"/>
    <w:rsid w:val="00BF211D"/>
    <w:rsid w:val="00C01CBA"/>
    <w:rsid w:val="00C417BE"/>
    <w:rsid w:val="00C5171B"/>
    <w:rsid w:val="00C566FD"/>
    <w:rsid w:val="00C84FF0"/>
    <w:rsid w:val="00C863E4"/>
    <w:rsid w:val="00C8667F"/>
    <w:rsid w:val="00C913B5"/>
    <w:rsid w:val="00CC4767"/>
    <w:rsid w:val="00CF15EC"/>
    <w:rsid w:val="00CF1F72"/>
    <w:rsid w:val="00D30BC3"/>
    <w:rsid w:val="00D62D7D"/>
    <w:rsid w:val="00DB4902"/>
    <w:rsid w:val="00DB7546"/>
    <w:rsid w:val="00DC6C61"/>
    <w:rsid w:val="00DD01AD"/>
    <w:rsid w:val="00DF65D0"/>
    <w:rsid w:val="00E04186"/>
    <w:rsid w:val="00E05B54"/>
    <w:rsid w:val="00E12F35"/>
    <w:rsid w:val="00E15F62"/>
    <w:rsid w:val="00E272F1"/>
    <w:rsid w:val="00E5518F"/>
    <w:rsid w:val="00E702C3"/>
    <w:rsid w:val="00E74C18"/>
    <w:rsid w:val="00E80297"/>
    <w:rsid w:val="00EA6DC4"/>
    <w:rsid w:val="00EF7602"/>
    <w:rsid w:val="00F06EFF"/>
    <w:rsid w:val="00F314EE"/>
    <w:rsid w:val="00F32887"/>
    <w:rsid w:val="00F42A6E"/>
    <w:rsid w:val="00F437B1"/>
    <w:rsid w:val="00F73E17"/>
    <w:rsid w:val="00F83B92"/>
    <w:rsid w:val="00FB0187"/>
    <w:rsid w:val="00FE30D0"/>
    <w:rsid w:val="00FE4E15"/>
    <w:rsid w:val="00FE74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30"/>
    <w:pPr>
      <w:spacing w:after="20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30BC3"/>
    <w:rPr>
      <w:rFonts w:cs="Times New Roman"/>
      <w:color w:val="0000FF"/>
      <w:u w:val="single"/>
    </w:rPr>
  </w:style>
  <w:style w:type="paragraph" w:styleId="ListParagraph">
    <w:name w:val="List Paragraph"/>
    <w:basedOn w:val="Normal"/>
    <w:uiPriority w:val="99"/>
    <w:qFormat/>
    <w:rsid w:val="007910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pe.educationnews.org/Review/Resources/DCPEFtoDCPS.pdf" TargetMode="External"/><Relationship Id="rId5" Type="http://schemas.openxmlformats.org/officeDocument/2006/relationships/hyperlink" Target="mailto:ehmartel@starpower.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1024</Words>
  <Characters>5839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3, 2012</dc:title>
  <dc:subject/>
  <dc:creator>Erich</dc:creator>
  <cp:keywords/>
  <dc:description/>
  <cp:lastModifiedBy>richardpphelps</cp:lastModifiedBy>
  <cp:revision>3</cp:revision>
  <dcterms:created xsi:type="dcterms:W3CDTF">2012-06-29T13:28:00Z</dcterms:created>
  <dcterms:modified xsi:type="dcterms:W3CDTF">2012-06-29T13:31:00Z</dcterms:modified>
</cp:coreProperties>
</file>